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B24" w:rsidRPr="00333B24" w:rsidRDefault="00490190" w:rsidP="006B5325">
      <w:pPr>
        <w:outlineLvl w:val="0"/>
        <w:rPr>
          <w:b/>
        </w:rPr>
      </w:pPr>
      <w:r w:rsidRPr="00333B24">
        <w:rPr>
          <w:b/>
        </w:rPr>
        <w:t xml:space="preserve">Citizens’ Jury </w:t>
      </w:r>
      <w:r w:rsidR="00333B24" w:rsidRPr="00333B24">
        <w:rPr>
          <w:b/>
        </w:rPr>
        <w:t>Specification</w:t>
      </w:r>
    </w:p>
    <w:tbl>
      <w:tblPr>
        <w:tblStyle w:val="TableGrid"/>
        <w:tblW w:w="0" w:type="auto"/>
        <w:tblLook w:val="04A0"/>
      </w:tblPr>
      <w:tblGrid>
        <w:gridCol w:w="1668"/>
        <w:gridCol w:w="7574"/>
      </w:tblGrid>
      <w:tr w:rsidR="00333B24" w:rsidTr="000B26B1">
        <w:tc>
          <w:tcPr>
            <w:tcW w:w="1668" w:type="dxa"/>
          </w:tcPr>
          <w:p w:rsidR="00333B24" w:rsidRDefault="003453C0" w:rsidP="00333B24">
            <w:r>
              <w:t>Jury n</w:t>
            </w:r>
            <w:r w:rsidR="00333B24">
              <w:t>ame</w:t>
            </w:r>
          </w:p>
        </w:tc>
        <w:tc>
          <w:tcPr>
            <w:tcW w:w="7574" w:type="dxa"/>
          </w:tcPr>
          <w:p w:rsidR="00333B24" w:rsidRDefault="000C6E85" w:rsidP="00CE0916">
            <w:r>
              <w:t>Pandemic Data Sharing Juries</w:t>
            </w:r>
          </w:p>
        </w:tc>
      </w:tr>
      <w:tr w:rsidR="00F5796F" w:rsidTr="000B26B1">
        <w:tc>
          <w:tcPr>
            <w:tcW w:w="1668" w:type="dxa"/>
          </w:tcPr>
          <w:p w:rsidR="00F5796F" w:rsidRDefault="00F5796F" w:rsidP="004A2CAE">
            <w:r>
              <w:t xml:space="preserve">Jury </w:t>
            </w:r>
            <w:r w:rsidR="004A2CAE">
              <w:t>questions</w:t>
            </w:r>
            <w:r w:rsidR="003056FD">
              <w:t xml:space="preserve"> </w:t>
            </w:r>
            <w:r w:rsidR="00BD4C3B">
              <w:t>(i.e. the questions the jury must answer)</w:t>
            </w:r>
          </w:p>
        </w:tc>
        <w:tc>
          <w:tcPr>
            <w:tcW w:w="7574" w:type="dxa"/>
          </w:tcPr>
          <w:p w:rsidR="001745DB" w:rsidRPr="00FE3F3D" w:rsidRDefault="001745DB" w:rsidP="001745DB">
            <w:pPr>
              <w:rPr>
                <w:rFonts w:cstheme="minorHAnsi"/>
              </w:rPr>
            </w:pPr>
            <w:r w:rsidRPr="00FE3F3D">
              <w:rPr>
                <w:rFonts w:cstheme="minorHAnsi"/>
              </w:rPr>
              <w:t xml:space="preserve">The three citizens’ juries will all consider the same questions. </w:t>
            </w:r>
          </w:p>
          <w:p w:rsidR="001745DB" w:rsidRPr="00FE3F3D" w:rsidRDefault="001745DB" w:rsidP="001745DB">
            <w:pPr>
              <w:rPr>
                <w:rFonts w:cstheme="minorHAnsi"/>
              </w:rPr>
            </w:pPr>
            <w:r w:rsidRPr="00FE3F3D">
              <w:rPr>
                <w:rFonts w:cstheme="minorHAnsi"/>
              </w:rPr>
              <w:t>The juries will consider three pandemic data initiatives</w:t>
            </w:r>
            <w:r w:rsidR="004E3A0E">
              <w:rPr>
                <w:rFonts w:cstheme="minorHAnsi"/>
              </w:rPr>
              <w:t xml:space="preserve"> which were introduced or substantially </w:t>
            </w:r>
            <w:r w:rsidR="0062337D">
              <w:rPr>
                <w:rFonts w:cstheme="minorHAnsi"/>
              </w:rPr>
              <w:t>changed in response to Covid-19</w:t>
            </w:r>
            <w:r w:rsidR="004E3A0E" w:rsidRPr="00FE3F3D">
              <w:rPr>
                <w:rFonts w:cstheme="minorHAnsi"/>
              </w:rPr>
              <w:t>:</w:t>
            </w:r>
            <w:r w:rsidRPr="00FE3F3D">
              <w:rPr>
                <w:rFonts w:cstheme="minorHAnsi"/>
              </w:rPr>
              <w:t>:</w:t>
            </w:r>
          </w:p>
          <w:p w:rsidR="001745DB" w:rsidRPr="00FE3F3D" w:rsidRDefault="002168B2" w:rsidP="001745DB">
            <w:pPr>
              <w:pStyle w:val="ListParagraph"/>
              <w:numPr>
                <w:ilvl w:val="0"/>
                <w:numId w:val="40"/>
              </w:numPr>
              <w:rPr>
                <w:rFonts w:cstheme="minorHAnsi"/>
              </w:rPr>
            </w:pPr>
            <w:hyperlink r:id="rId11" w:history="1">
              <w:r w:rsidR="001745DB" w:rsidRPr="00FE3F3D">
                <w:rPr>
                  <w:rStyle w:val="Hyperlink"/>
                  <w:rFonts w:cstheme="minorHAnsi"/>
                </w:rPr>
                <w:t>Summary Care Record</w:t>
              </w:r>
            </w:hyperlink>
            <w:r w:rsidR="001745DB" w:rsidRPr="00FE3F3D">
              <w:rPr>
                <w:rFonts w:cstheme="minorHAnsi"/>
              </w:rPr>
              <w:t xml:space="preserve"> (which was extended to include more data about patients during the pandemic) </w:t>
            </w:r>
          </w:p>
          <w:p w:rsidR="001745DB" w:rsidRPr="00FE3F3D" w:rsidRDefault="002168B2" w:rsidP="001745DB">
            <w:pPr>
              <w:pStyle w:val="ListParagraph"/>
              <w:numPr>
                <w:ilvl w:val="0"/>
                <w:numId w:val="40"/>
              </w:numPr>
              <w:rPr>
                <w:rFonts w:cstheme="minorHAnsi"/>
              </w:rPr>
            </w:pPr>
            <w:hyperlink r:id="rId12" w:history="1">
              <w:r w:rsidR="001745DB" w:rsidRPr="00FE3F3D">
                <w:rPr>
                  <w:rStyle w:val="Hyperlink"/>
                  <w:rFonts w:cstheme="minorHAnsi"/>
                </w:rPr>
                <w:t>NHS Covid-19 Data Store</w:t>
              </w:r>
            </w:hyperlink>
            <w:r w:rsidR="001745DB" w:rsidRPr="00FE3F3D">
              <w:rPr>
                <w:rFonts w:cstheme="minorHAnsi"/>
              </w:rPr>
              <w:t xml:space="preserve"> (which was created in response to the pandemic)</w:t>
            </w:r>
          </w:p>
          <w:p w:rsidR="001745DB" w:rsidRPr="00FE3F3D" w:rsidRDefault="002168B2" w:rsidP="001745DB">
            <w:pPr>
              <w:pStyle w:val="ListParagraph"/>
              <w:numPr>
                <w:ilvl w:val="0"/>
                <w:numId w:val="40"/>
              </w:numPr>
              <w:rPr>
                <w:rFonts w:cstheme="minorHAnsi"/>
              </w:rPr>
            </w:pPr>
            <w:hyperlink r:id="rId13" w:history="1">
              <w:proofErr w:type="spellStart"/>
              <w:r w:rsidR="001745DB" w:rsidRPr="00FE3F3D">
                <w:rPr>
                  <w:rStyle w:val="Hyperlink"/>
                </w:rPr>
                <w:t>OpenSAFELY</w:t>
              </w:r>
              <w:proofErr w:type="spellEnd"/>
            </w:hyperlink>
            <w:r w:rsidR="001745DB" w:rsidRPr="00FE3F3D">
              <w:t xml:space="preserve"> (which uses primary care data for research).</w:t>
            </w:r>
          </w:p>
          <w:p w:rsidR="001745DB" w:rsidRPr="00FE3F3D" w:rsidRDefault="001745DB" w:rsidP="001745DB">
            <w:pPr>
              <w:rPr>
                <w:rFonts w:cstheme="minorHAnsi"/>
              </w:rPr>
            </w:pPr>
          </w:p>
          <w:p w:rsidR="001745DB" w:rsidRPr="00FE3F3D" w:rsidRDefault="001745DB" w:rsidP="001745DB">
            <w:pPr>
              <w:rPr>
                <w:rFonts w:cstheme="minorHAnsi"/>
              </w:rPr>
            </w:pPr>
            <w:r w:rsidRPr="00FE3F3D">
              <w:rPr>
                <w:rFonts w:cstheme="minorHAnsi"/>
              </w:rPr>
              <w:t>For each initiative, the jury will address the following questions:</w:t>
            </w:r>
          </w:p>
          <w:p w:rsidR="001745DB" w:rsidRPr="00FE3F3D" w:rsidRDefault="001745DB" w:rsidP="001745DB"/>
          <w:p w:rsidR="001745DB" w:rsidRPr="00FE3F3D" w:rsidRDefault="001745DB" w:rsidP="001745DB">
            <w:pPr>
              <w:pStyle w:val="ListParagraph"/>
              <w:numPr>
                <w:ilvl w:val="0"/>
                <w:numId w:val="42"/>
              </w:numPr>
            </w:pPr>
            <w:r w:rsidRPr="00FE3F3D">
              <w:t>a) How supportive are you of the decision to introduce this data sharing initiative in 2020 as part of tackling the COVID-19 outbreak?</w:t>
            </w:r>
          </w:p>
          <w:p w:rsidR="001745DB" w:rsidRPr="00FE3F3D" w:rsidRDefault="001745DB" w:rsidP="001745DB">
            <w:pPr>
              <w:ind w:left="709"/>
            </w:pPr>
            <w:r w:rsidRPr="00FE3F3D">
              <w:t xml:space="preserve">Very much in support/ Broadly supportive/ Neutral/ Broadly opposed/ Very much opposed </w:t>
            </w:r>
          </w:p>
          <w:p w:rsidR="001745DB" w:rsidRPr="00FE3F3D" w:rsidRDefault="001745DB" w:rsidP="001745DB">
            <w:pPr>
              <w:pStyle w:val="ListParagraph"/>
              <w:ind w:left="1080"/>
            </w:pPr>
          </w:p>
          <w:p w:rsidR="001745DB" w:rsidRPr="00FE3F3D" w:rsidRDefault="001745DB" w:rsidP="001745DB">
            <w:pPr>
              <w:pStyle w:val="ListParagraph"/>
              <w:numPr>
                <w:ilvl w:val="0"/>
                <w:numId w:val="44"/>
              </w:numPr>
            </w:pPr>
            <w:r w:rsidRPr="00FE3F3D">
              <w:t>“</w:t>
            </w:r>
            <w:r>
              <w:t>W</w:t>
            </w:r>
            <w:r w:rsidRPr="00FE3F3D">
              <w:t>hat are the most important reasons to be supportive?”</w:t>
            </w:r>
          </w:p>
          <w:p w:rsidR="001745DB" w:rsidRPr="00FE3F3D" w:rsidRDefault="001745DB" w:rsidP="001745DB">
            <w:pPr>
              <w:pStyle w:val="ListParagraph"/>
              <w:numPr>
                <w:ilvl w:val="0"/>
                <w:numId w:val="44"/>
              </w:numPr>
            </w:pPr>
            <w:r w:rsidRPr="00FE3F3D">
              <w:t>“What are the most important reasons to oppose the initiative?”</w:t>
            </w:r>
          </w:p>
          <w:p w:rsidR="001745DB" w:rsidRPr="00FE3F3D" w:rsidRDefault="001745DB" w:rsidP="001745DB">
            <w:pPr>
              <w:pStyle w:val="ListParagraph"/>
              <w:ind w:left="1080"/>
            </w:pPr>
          </w:p>
          <w:p w:rsidR="001745DB" w:rsidRPr="00FE3F3D" w:rsidRDefault="001745DB" w:rsidP="001745DB">
            <w:pPr>
              <w:pStyle w:val="ListParagraph"/>
              <w:numPr>
                <w:ilvl w:val="0"/>
                <w:numId w:val="42"/>
              </w:numPr>
            </w:pPr>
            <w:r w:rsidRPr="00FE3F3D">
              <w:t>What should the future of the data sharing initiative be?</w:t>
            </w:r>
          </w:p>
          <w:p w:rsidR="001745DB" w:rsidRDefault="001745DB" w:rsidP="001745DB">
            <w:pPr>
              <w:pStyle w:val="ListParagraph"/>
              <w:numPr>
                <w:ilvl w:val="1"/>
                <w:numId w:val="45"/>
              </w:numPr>
              <w:ind w:left="1134"/>
            </w:pPr>
            <w:r w:rsidRPr="00FE3F3D">
              <w:t>For how long should the initiative continue</w:t>
            </w:r>
          </w:p>
          <w:p w:rsidR="001745DB" w:rsidRDefault="001745DB" w:rsidP="001745DB">
            <w:pPr>
              <w:pStyle w:val="ListParagraph"/>
              <w:numPr>
                <w:ilvl w:val="2"/>
                <w:numId w:val="45"/>
              </w:numPr>
            </w:pPr>
            <w:r>
              <w:t>As short a time as possible</w:t>
            </w:r>
          </w:p>
          <w:p w:rsidR="001745DB" w:rsidRDefault="001745DB" w:rsidP="001745DB">
            <w:pPr>
              <w:pStyle w:val="ListParagraph"/>
              <w:numPr>
                <w:ilvl w:val="2"/>
                <w:numId w:val="45"/>
              </w:numPr>
            </w:pPr>
            <w:r>
              <w:t xml:space="preserve">Only as long as the </w:t>
            </w:r>
            <w:proofErr w:type="spellStart"/>
            <w:r>
              <w:t>Covid</w:t>
            </w:r>
            <w:proofErr w:type="spellEnd"/>
            <w:r>
              <w:t xml:space="preserve"> pandemic continues and emergency powers</w:t>
            </w:r>
            <w:r>
              <w:rPr>
                <w:rStyle w:val="FootnoteReference"/>
              </w:rPr>
              <w:footnoteReference w:id="1"/>
            </w:r>
            <w:r>
              <w:t xml:space="preserve"> are in place</w:t>
            </w:r>
          </w:p>
          <w:p w:rsidR="001745DB" w:rsidRDefault="001745DB" w:rsidP="001745DB">
            <w:pPr>
              <w:pStyle w:val="ListParagraph"/>
              <w:numPr>
                <w:ilvl w:val="2"/>
                <w:numId w:val="45"/>
              </w:numPr>
            </w:pPr>
            <w:r>
              <w:t xml:space="preserve">As long as it is valuable </w:t>
            </w:r>
            <w:r w:rsidRPr="007148A9">
              <w:t>(p</w:t>
            </w:r>
            <w:r>
              <w:t xml:space="preserve">otentially beyond the pandemic and for </w:t>
            </w:r>
            <w:proofErr w:type="spellStart"/>
            <w:r>
              <w:t>Covid</w:t>
            </w:r>
            <w:proofErr w:type="spellEnd"/>
            <w:r>
              <w:t xml:space="preserve"> and non-</w:t>
            </w:r>
            <w:proofErr w:type="spellStart"/>
            <w:r>
              <w:t>Covid</w:t>
            </w:r>
            <w:proofErr w:type="spellEnd"/>
            <w:r>
              <w:t xml:space="preserve"> uses)</w:t>
            </w:r>
          </w:p>
          <w:p w:rsidR="001745DB" w:rsidRPr="00FE3F3D" w:rsidRDefault="001745DB" w:rsidP="001745DB">
            <w:pPr>
              <w:pStyle w:val="ListParagraph"/>
              <w:numPr>
                <w:ilvl w:val="2"/>
                <w:numId w:val="45"/>
              </w:numPr>
            </w:pPr>
            <w:r>
              <w:t xml:space="preserve"> Something else</w:t>
            </w:r>
          </w:p>
          <w:p w:rsidR="001745DB" w:rsidRDefault="001745DB" w:rsidP="001745DB">
            <w:pPr>
              <w:ind w:left="2340"/>
            </w:pPr>
          </w:p>
          <w:p w:rsidR="001745DB" w:rsidRDefault="001745DB" w:rsidP="001745DB">
            <w:pPr>
              <w:pStyle w:val="ListParagraph"/>
              <w:numPr>
                <w:ilvl w:val="1"/>
                <w:numId w:val="45"/>
              </w:numPr>
              <w:ind w:left="1134"/>
            </w:pPr>
            <w:r>
              <w:t>By whom should these decisions be made?</w:t>
            </w:r>
          </w:p>
          <w:p w:rsidR="001745DB" w:rsidRDefault="001745DB" w:rsidP="001745DB">
            <w:pPr>
              <w:pStyle w:val="ListParagraph"/>
              <w:numPr>
                <w:ilvl w:val="2"/>
                <w:numId w:val="45"/>
              </w:numPr>
            </w:pPr>
            <w:r>
              <w:t>An independent advisory group of experts and lay people</w:t>
            </w:r>
          </w:p>
          <w:p w:rsidR="001745DB" w:rsidRDefault="001745DB" w:rsidP="001745DB">
            <w:pPr>
              <w:pStyle w:val="ListParagraph"/>
              <w:numPr>
                <w:ilvl w:val="2"/>
                <w:numId w:val="45"/>
              </w:numPr>
            </w:pPr>
            <w:r>
              <w:t xml:space="preserve">The </w:t>
            </w:r>
            <w:r w:rsidR="001E406D">
              <w:t>minister or organisation</w:t>
            </w:r>
            <w:r w:rsidR="00677A11">
              <w:t xml:space="preserve"> </w:t>
            </w:r>
            <w:r>
              <w:t>accountable for the data initiative</w:t>
            </w:r>
          </w:p>
          <w:p w:rsidR="001745DB" w:rsidRDefault="00226E79" w:rsidP="001745DB">
            <w:pPr>
              <w:pStyle w:val="ListParagraph"/>
              <w:numPr>
                <w:ilvl w:val="2"/>
                <w:numId w:val="45"/>
              </w:numPr>
            </w:pPr>
            <w:r>
              <w:t>P</w:t>
            </w:r>
            <w:r w:rsidR="001745DB">
              <w:t>arliament</w:t>
            </w:r>
          </w:p>
          <w:p w:rsidR="001745DB" w:rsidRDefault="001745DB" w:rsidP="001745DB">
            <w:pPr>
              <w:pStyle w:val="ListParagraph"/>
              <w:numPr>
                <w:ilvl w:val="2"/>
                <w:numId w:val="45"/>
              </w:numPr>
            </w:pPr>
            <w:r>
              <w:t>Someone else</w:t>
            </w:r>
          </w:p>
          <w:p w:rsidR="001745DB" w:rsidRPr="00FE3F3D" w:rsidRDefault="001745DB" w:rsidP="001745DB"/>
          <w:p w:rsidR="001745DB" w:rsidRPr="00FE3F3D" w:rsidRDefault="001745DB" w:rsidP="001745DB">
            <w:pPr>
              <w:pStyle w:val="ListParagraph"/>
              <w:numPr>
                <w:ilvl w:val="1"/>
                <w:numId w:val="45"/>
              </w:numPr>
              <w:ind w:left="1134"/>
            </w:pPr>
            <w:r w:rsidRPr="00FE3F3D">
              <w:t>How could or should the initiative and its uses be usefully changed in the future</w:t>
            </w:r>
            <w:r>
              <w:t xml:space="preserve"> (if at all)</w:t>
            </w:r>
            <w:r w:rsidRPr="00FE3F3D">
              <w:t>?</w:t>
            </w:r>
          </w:p>
          <w:p w:rsidR="001745DB" w:rsidRDefault="001745DB" w:rsidP="001745DB">
            <w:pPr>
              <w:pStyle w:val="ListParagraph"/>
              <w:numPr>
                <w:ilvl w:val="1"/>
                <w:numId w:val="45"/>
              </w:numPr>
              <w:ind w:left="1134"/>
            </w:pPr>
            <w:r>
              <w:t>What</w:t>
            </w:r>
            <w:r w:rsidRPr="00FE3F3D">
              <w:t xml:space="preserve"> actions</w:t>
            </w:r>
            <w:r>
              <w:t>, if any,</w:t>
            </w:r>
            <w:r w:rsidRPr="00FE3F3D">
              <w:t xml:space="preserve"> </w:t>
            </w:r>
            <w:r>
              <w:t xml:space="preserve">could </w:t>
            </w:r>
            <w:r w:rsidRPr="00FE3F3D">
              <w:t xml:space="preserve">be taken to engender </w:t>
            </w:r>
            <w:r>
              <w:t xml:space="preserve">greater </w:t>
            </w:r>
            <w:r w:rsidRPr="00FE3F3D">
              <w:t xml:space="preserve">public trust in the initiative?  </w:t>
            </w:r>
          </w:p>
          <w:p w:rsidR="001745DB" w:rsidRDefault="001745DB" w:rsidP="001745DB">
            <w:pPr>
              <w:pStyle w:val="ListParagraph"/>
              <w:numPr>
                <w:ilvl w:val="1"/>
                <w:numId w:val="45"/>
              </w:numPr>
              <w:ind w:left="1134"/>
            </w:pPr>
            <w:r>
              <w:t>What are the main reasons for these answers?</w:t>
            </w:r>
          </w:p>
          <w:p w:rsidR="001745DB" w:rsidRDefault="001745DB" w:rsidP="001745DB">
            <w:pPr>
              <w:pStyle w:val="ListParagraph"/>
            </w:pPr>
          </w:p>
          <w:p w:rsidR="001745DB" w:rsidRDefault="001745DB" w:rsidP="001745DB">
            <w:r>
              <w:t xml:space="preserve">[Note that there are many questions above, each for several case studies, and to fit the process design into the time available may require that some or all of the answers to Q2c), d) and e) will be given by individuals rather than by the jury as a </w:t>
            </w:r>
            <w:r>
              <w:lastRenderedPageBreak/>
              <w:t>group.]</w:t>
            </w:r>
          </w:p>
          <w:p w:rsidR="001745DB" w:rsidRPr="00FE3F3D" w:rsidRDefault="001745DB" w:rsidP="001745DB"/>
          <w:p w:rsidR="001745DB" w:rsidRPr="00FE3F3D" w:rsidRDefault="001745DB" w:rsidP="001745DB">
            <w:pPr>
              <w:spacing w:after="120"/>
            </w:pPr>
            <w:r w:rsidRPr="00FE3F3D">
              <w:t>At the end of each jury, the jury will be asked:</w:t>
            </w:r>
          </w:p>
          <w:p w:rsidR="001745DB" w:rsidRPr="00FE3F3D" w:rsidRDefault="001745DB" w:rsidP="001745DB">
            <w:pPr>
              <w:pStyle w:val="ListParagraph"/>
              <w:numPr>
                <w:ilvl w:val="0"/>
                <w:numId w:val="42"/>
              </w:numPr>
            </w:pPr>
            <w:r w:rsidRPr="00FE3F3D">
              <w:t xml:space="preserve">What lessons can we learn from how these pandemic data initiatives were introduced </w:t>
            </w:r>
          </w:p>
          <w:p w:rsidR="001745DB" w:rsidRPr="00FE3F3D" w:rsidRDefault="001745DB" w:rsidP="001745DB">
            <w:pPr>
              <w:pStyle w:val="ListParagraph"/>
              <w:numPr>
                <w:ilvl w:val="1"/>
                <w:numId w:val="43"/>
              </w:numPr>
            </w:pPr>
            <w:proofErr w:type="gramStart"/>
            <w:r w:rsidRPr="00FE3F3D">
              <w:t>which</w:t>
            </w:r>
            <w:proofErr w:type="gramEnd"/>
            <w:r w:rsidRPr="00FE3F3D">
              <w:t xml:space="preserve"> could be useful for future pandemics?</w:t>
            </w:r>
          </w:p>
          <w:p w:rsidR="001745DB" w:rsidRPr="00FE3F3D" w:rsidRDefault="001745DB" w:rsidP="001745DB">
            <w:pPr>
              <w:pStyle w:val="ListParagraph"/>
              <w:numPr>
                <w:ilvl w:val="1"/>
                <w:numId w:val="43"/>
              </w:numPr>
            </w:pPr>
            <w:proofErr w:type="gramStart"/>
            <w:r w:rsidRPr="00FE3F3D">
              <w:t>which</w:t>
            </w:r>
            <w:proofErr w:type="gramEnd"/>
            <w:r w:rsidRPr="00FE3F3D">
              <w:t xml:space="preserve"> could be useful outside of pandemics? </w:t>
            </w:r>
          </w:p>
          <w:p w:rsidR="001745DB" w:rsidRPr="00FE3F3D" w:rsidRDefault="001745DB" w:rsidP="001745DB">
            <w:pPr>
              <w:rPr>
                <w:rFonts w:cstheme="minorHAnsi"/>
              </w:rPr>
            </w:pPr>
          </w:p>
          <w:p w:rsidR="001745DB" w:rsidRDefault="001745DB" w:rsidP="001745DB">
            <w:pPr>
              <w:rPr>
                <w:rFonts w:cstheme="minorHAnsi"/>
              </w:rPr>
            </w:pPr>
            <w:r w:rsidRPr="00FE3F3D">
              <w:rPr>
                <w:rFonts w:cstheme="minorHAnsi"/>
              </w:rPr>
              <w:t>Following discussions with NHS England and NHS X, two “sub-case studies” will be added to the NHS Covid-19 Data Store for the jury to consider. These are systems reliant on the Data Store</w:t>
            </w:r>
            <w:r>
              <w:rPr>
                <w:rFonts w:cstheme="minorHAnsi"/>
              </w:rPr>
              <w:t>:</w:t>
            </w:r>
          </w:p>
          <w:p w:rsidR="001745DB" w:rsidRPr="002A59D9" w:rsidRDefault="001745DB" w:rsidP="001745DB">
            <w:pPr>
              <w:pStyle w:val="ListParagraph"/>
              <w:numPr>
                <w:ilvl w:val="0"/>
                <w:numId w:val="48"/>
              </w:numPr>
              <w:rPr>
                <w:rFonts w:cstheme="minorHAnsi"/>
              </w:rPr>
            </w:pPr>
            <w:r w:rsidRPr="002A59D9">
              <w:rPr>
                <w:rFonts w:cstheme="minorHAnsi"/>
              </w:rPr>
              <w:t>The Early Warning System</w:t>
            </w:r>
          </w:p>
          <w:p w:rsidR="001745DB" w:rsidRPr="002A59D9" w:rsidRDefault="001745DB" w:rsidP="001745DB">
            <w:pPr>
              <w:pStyle w:val="ListParagraph"/>
              <w:numPr>
                <w:ilvl w:val="0"/>
                <w:numId w:val="48"/>
              </w:numPr>
              <w:rPr>
                <w:rFonts w:cstheme="minorHAnsi"/>
              </w:rPr>
            </w:pPr>
            <w:r w:rsidRPr="002A59D9">
              <w:rPr>
                <w:rFonts w:cstheme="minorHAnsi"/>
              </w:rPr>
              <w:t>The Immunisation and Vaccination Management (I&amp;V) Capability</w:t>
            </w:r>
            <w:r>
              <w:rPr>
                <w:rFonts w:cstheme="minorHAnsi"/>
              </w:rPr>
              <w:t>.</w:t>
            </w:r>
          </w:p>
          <w:p w:rsidR="008A5B5D" w:rsidRPr="00FE3F3D" w:rsidRDefault="001745DB" w:rsidP="001745DB">
            <w:pPr>
              <w:rPr>
                <w:rFonts w:cstheme="minorHAnsi"/>
              </w:rPr>
            </w:pPr>
            <w:r w:rsidRPr="00FE3F3D">
              <w:rPr>
                <w:rFonts w:cstheme="minorHAnsi"/>
              </w:rPr>
              <w:t xml:space="preserve">The juries will answer two of the above questions </w:t>
            </w:r>
            <w:r>
              <w:rPr>
                <w:rFonts w:cstheme="minorHAnsi"/>
              </w:rPr>
              <w:t>about</w:t>
            </w:r>
            <w:r w:rsidRPr="00FE3F3D">
              <w:rPr>
                <w:rFonts w:cstheme="minorHAnsi"/>
              </w:rPr>
              <w:t xml:space="preserve"> </w:t>
            </w:r>
            <w:r>
              <w:rPr>
                <w:rFonts w:cstheme="minorHAnsi"/>
              </w:rPr>
              <w:t xml:space="preserve">each of </w:t>
            </w:r>
            <w:r w:rsidRPr="00FE3F3D">
              <w:rPr>
                <w:rFonts w:cstheme="minorHAnsi"/>
              </w:rPr>
              <w:t>these sub-case studies: 1 a) and 2a).</w:t>
            </w:r>
          </w:p>
        </w:tc>
      </w:tr>
      <w:tr w:rsidR="00CB5AE2" w:rsidTr="000B26B1">
        <w:tc>
          <w:tcPr>
            <w:tcW w:w="1668" w:type="dxa"/>
          </w:tcPr>
          <w:p w:rsidR="00CB5AE2" w:rsidRDefault="00CB5AE2" w:rsidP="003453C0">
            <w:r>
              <w:lastRenderedPageBreak/>
              <w:t>Other jury outputs</w:t>
            </w:r>
          </w:p>
        </w:tc>
        <w:tc>
          <w:tcPr>
            <w:tcW w:w="7574" w:type="dxa"/>
          </w:tcPr>
          <w:p w:rsidR="007F3C6B" w:rsidRPr="00FE3F3D" w:rsidRDefault="00E14E85" w:rsidP="00333B24">
            <w:r w:rsidRPr="00FE3F3D">
              <w:t>Jurors’ report</w:t>
            </w:r>
            <w:r w:rsidR="007F3C6B" w:rsidRPr="00FE3F3D">
              <w:t>s</w:t>
            </w:r>
            <w:r w:rsidRPr="00FE3F3D">
              <w:t xml:space="preserve"> (developed during the jury process using the jurors’ own words)</w:t>
            </w:r>
          </w:p>
          <w:p w:rsidR="007F3C6B" w:rsidRPr="00FE3F3D" w:rsidRDefault="007F3C6B" w:rsidP="007F3C6B">
            <w:pPr>
              <w:pStyle w:val="ListParagraph"/>
              <w:numPr>
                <w:ilvl w:val="0"/>
                <w:numId w:val="39"/>
              </w:numPr>
            </w:pPr>
            <w:r w:rsidRPr="00FE3F3D">
              <w:t xml:space="preserve">1 for </w:t>
            </w:r>
            <w:r w:rsidR="000C6E85" w:rsidRPr="00FE3F3D">
              <w:t>Manchester jury</w:t>
            </w:r>
          </w:p>
          <w:p w:rsidR="00E14E85" w:rsidRPr="00FE3F3D" w:rsidRDefault="007F3C6B" w:rsidP="007F3C6B">
            <w:pPr>
              <w:pStyle w:val="ListParagraph"/>
              <w:numPr>
                <w:ilvl w:val="0"/>
                <w:numId w:val="39"/>
              </w:numPr>
            </w:pPr>
            <w:r w:rsidRPr="00FE3F3D">
              <w:t xml:space="preserve">1 for </w:t>
            </w:r>
            <w:r w:rsidR="00686E01" w:rsidRPr="00FE3F3D">
              <w:t xml:space="preserve">rural </w:t>
            </w:r>
            <w:r w:rsidR="000C6E85" w:rsidRPr="00FE3F3D">
              <w:t>Sussex jury</w:t>
            </w:r>
          </w:p>
          <w:p w:rsidR="000C6E85" w:rsidRPr="00FE3F3D" w:rsidRDefault="000C6E85" w:rsidP="007F3C6B">
            <w:pPr>
              <w:pStyle w:val="ListParagraph"/>
              <w:numPr>
                <w:ilvl w:val="0"/>
                <w:numId w:val="39"/>
              </w:numPr>
            </w:pPr>
            <w:r w:rsidRPr="00FE3F3D">
              <w:t>1 for National jury</w:t>
            </w:r>
          </w:p>
          <w:p w:rsidR="00BF3173" w:rsidRPr="00FE3F3D" w:rsidRDefault="00EE0E47" w:rsidP="00333B24">
            <w:r w:rsidRPr="00FE3F3D">
              <w:t>Juries’ R</w:t>
            </w:r>
            <w:r w:rsidR="00E14E85" w:rsidRPr="00FE3F3D">
              <w:t>eport</w:t>
            </w:r>
          </w:p>
          <w:p w:rsidR="00CB5AE2" w:rsidRPr="00FE3F3D" w:rsidRDefault="00E14E85" w:rsidP="00333B24">
            <w:r w:rsidRPr="00FE3F3D">
              <w:t>End-of-jury</w:t>
            </w:r>
            <w:r w:rsidR="0071614F" w:rsidRPr="00FE3F3D">
              <w:t xml:space="preserve"> questionnaire</w:t>
            </w:r>
            <w:r w:rsidR="007F3C6B" w:rsidRPr="00FE3F3D">
              <w:t>s – 1 per juror</w:t>
            </w:r>
          </w:p>
          <w:p w:rsidR="00AF6F05" w:rsidRPr="00FE3F3D" w:rsidRDefault="00237206" w:rsidP="00333B24">
            <w:r w:rsidRPr="00FE3F3D">
              <w:t>Word cloud of juror experience</w:t>
            </w:r>
            <w:r w:rsidR="007F3C6B" w:rsidRPr="00FE3F3D">
              <w:t>s</w:t>
            </w:r>
          </w:p>
          <w:p w:rsidR="00EE0E47" w:rsidRPr="00FE3F3D" w:rsidRDefault="00E14E85" w:rsidP="00EE0E47">
            <w:r w:rsidRPr="00FE3F3D">
              <w:t>Video</w:t>
            </w:r>
          </w:p>
          <w:p w:rsidR="00EE0E47" w:rsidRPr="00FE3F3D" w:rsidRDefault="00EE0E47" w:rsidP="00EE0E47">
            <w:r w:rsidRPr="00FE3F3D">
              <w:t>Colour brochure about juries</w:t>
            </w:r>
          </w:p>
          <w:p w:rsidR="00EE0E47" w:rsidRPr="00FE3F3D" w:rsidRDefault="00EE0E47" w:rsidP="00EE0E47">
            <w:r w:rsidRPr="00FE3F3D">
              <w:t>Post-jury workshop</w:t>
            </w:r>
          </w:p>
          <w:p w:rsidR="00EE0E47" w:rsidRPr="00FE3F3D" w:rsidRDefault="00EE0E47" w:rsidP="00EE0E47">
            <w:r w:rsidRPr="00FE3F3D">
              <w:t>Policy paper</w:t>
            </w:r>
          </w:p>
        </w:tc>
      </w:tr>
      <w:tr w:rsidR="00333B24" w:rsidTr="000B26B1">
        <w:tc>
          <w:tcPr>
            <w:tcW w:w="1668" w:type="dxa"/>
          </w:tcPr>
          <w:p w:rsidR="00333B24" w:rsidRDefault="003453C0" w:rsidP="00237206">
            <w:r>
              <w:t>Jury d</w:t>
            </w:r>
            <w:r w:rsidR="00237206">
              <w:t>uration</w:t>
            </w:r>
            <w:r w:rsidR="00E14E85">
              <w:t xml:space="preserve"> and venues</w:t>
            </w:r>
          </w:p>
        </w:tc>
        <w:tc>
          <w:tcPr>
            <w:tcW w:w="7574" w:type="dxa"/>
          </w:tcPr>
          <w:p w:rsidR="000C6E85" w:rsidRPr="00FE3F3D" w:rsidRDefault="00EE0E47" w:rsidP="00E070B0">
            <w:r w:rsidRPr="00FE3F3D">
              <w:t>Three</w:t>
            </w:r>
            <w:r w:rsidR="00BB2A1F" w:rsidRPr="00FE3F3D">
              <w:t xml:space="preserve"> juries, </w:t>
            </w:r>
            <w:r w:rsidRPr="00FE3F3D">
              <w:t>each equivalent to</w:t>
            </w:r>
            <w:r w:rsidR="00BB2A1F" w:rsidRPr="00FE3F3D">
              <w:t xml:space="preserve"> 5</w:t>
            </w:r>
            <w:r w:rsidRPr="00FE3F3D">
              <w:t xml:space="preserve"> full</w:t>
            </w:r>
            <w:r w:rsidR="00A41CBA" w:rsidRPr="00FE3F3D">
              <w:t xml:space="preserve"> days</w:t>
            </w:r>
            <w:r w:rsidR="00E14E85" w:rsidRPr="00FE3F3D">
              <w:t xml:space="preserve"> duration</w:t>
            </w:r>
            <w:r w:rsidR="00191BB7" w:rsidRPr="00FE3F3D">
              <w:t>, but running over a two-</w:t>
            </w:r>
            <w:r w:rsidRPr="00FE3F3D">
              <w:t xml:space="preserve">week period, with </w:t>
            </w:r>
            <w:r w:rsidR="002A1D02" w:rsidRPr="00FE3F3D">
              <w:t>8</w:t>
            </w:r>
            <w:r w:rsidRPr="00FE3F3D">
              <w:t xml:space="preserve"> day</w:t>
            </w:r>
            <w:r w:rsidR="002A1D02" w:rsidRPr="00FE3F3D">
              <w:t>s of</w:t>
            </w:r>
            <w:r w:rsidRPr="00FE3F3D">
              <w:t xml:space="preserve"> online sessions of approximately </w:t>
            </w:r>
            <w:r w:rsidR="002A1D02" w:rsidRPr="00FE3F3D">
              <w:t>4.5</w:t>
            </w:r>
            <w:r w:rsidRPr="00FE3F3D">
              <w:t xml:space="preserve"> hours each</w:t>
            </w:r>
            <w:r w:rsidR="002A1D02" w:rsidRPr="00FE3F3D">
              <w:t xml:space="preserve"> with a break in the middle</w:t>
            </w:r>
            <w:r w:rsidR="00E070B0">
              <w:t>.</w:t>
            </w:r>
          </w:p>
          <w:p w:rsidR="001716AB" w:rsidRPr="00E070B0" w:rsidRDefault="001716AB" w:rsidP="001716AB">
            <w:r w:rsidRPr="00E070B0">
              <w:t>The dates for the three juries are:</w:t>
            </w:r>
          </w:p>
          <w:p w:rsidR="001716AB" w:rsidRPr="00E070B0" w:rsidRDefault="001716AB" w:rsidP="001716AB">
            <w:pPr>
              <w:pStyle w:val="ListParagraph"/>
              <w:numPr>
                <w:ilvl w:val="0"/>
                <w:numId w:val="47"/>
              </w:numPr>
              <w:contextualSpacing w:val="0"/>
            </w:pPr>
            <w:r w:rsidRPr="00E070B0">
              <w:t>Jury 1</w:t>
            </w:r>
            <w:r w:rsidR="00E070B0">
              <w:t>, National jury</w:t>
            </w:r>
            <w:r w:rsidRPr="00E070B0">
              <w:t xml:space="preserve">: 16-19, 22-25 March; </w:t>
            </w:r>
          </w:p>
          <w:p w:rsidR="001716AB" w:rsidRPr="00E070B0" w:rsidRDefault="001716AB" w:rsidP="001716AB">
            <w:pPr>
              <w:pStyle w:val="ListParagraph"/>
              <w:numPr>
                <w:ilvl w:val="0"/>
                <w:numId w:val="47"/>
              </w:numPr>
              <w:contextualSpacing w:val="0"/>
            </w:pPr>
            <w:r w:rsidRPr="00E070B0">
              <w:t>Jury 2</w:t>
            </w:r>
            <w:r w:rsidR="00E070B0">
              <w:t>, Greater Manchester jury</w:t>
            </w:r>
            <w:r w:rsidRPr="00E070B0">
              <w:t>: 6-9 April, 12-15 April;</w:t>
            </w:r>
          </w:p>
          <w:p w:rsidR="001716AB" w:rsidRPr="00E070B0" w:rsidRDefault="001716AB" w:rsidP="001716AB">
            <w:pPr>
              <w:pStyle w:val="ListParagraph"/>
              <w:numPr>
                <w:ilvl w:val="0"/>
                <w:numId w:val="47"/>
              </w:numPr>
              <w:contextualSpacing w:val="0"/>
            </w:pPr>
            <w:r w:rsidRPr="00E070B0">
              <w:t>Jury 3</w:t>
            </w:r>
            <w:r w:rsidR="00E070B0">
              <w:t>, Sussex jury (primarily rural)</w:t>
            </w:r>
            <w:r w:rsidRPr="00E070B0">
              <w:t>: 27-30 April, 3-6 May.</w:t>
            </w:r>
          </w:p>
          <w:p w:rsidR="001716AB" w:rsidRPr="00FE3F3D" w:rsidRDefault="001716AB" w:rsidP="001716AB"/>
        </w:tc>
      </w:tr>
      <w:tr w:rsidR="00333B24" w:rsidTr="000B26B1">
        <w:tc>
          <w:tcPr>
            <w:tcW w:w="1668" w:type="dxa"/>
          </w:tcPr>
          <w:p w:rsidR="00333B24" w:rsidRDefault="006F0059" w:rsidP="00333B24">
            <w:r>
              <w:t>Number of jurors</w:t>
            </w:r>
          </w:p>
        </w:tc>
        <w:tc>
          <w:tcPr>
            <w:tcW w:w="7574" w:type="dxa"/>
          </w:tcPr>
          <w:p w:rsidR="006F0059" w:rsidRPr="00FE3F3D" w:rsidRDefault="00A41CBA" w:rsidP="00EE0E47">
            <w:r w:rsidRPr="00FE3F3D">
              <w:t xml:space="preserve">18 jurors (plus </w:t>
            </w:r>
            <w:r w:rsidR="00546DF1" w:rsidRPr="00FE3F3D">
              <w:t xml:space="preserve">up to </w:t>
            </w:r>
            <w:r w:rsidRPr="00FE3F3D">
              <w:t>3</w:t>
            </w:r>
            <w:r w:rsidR="006F0059" w:rsidRPr="00FE3F3D">
              <w:t xml:space="preserve"> substitutes paid to </w:t>
            </w:r>
            <w:r w:rsidR="00EE0E47" w:rsidRPr="00FE3F3D">
              <w:t xml:space="preserve">participate in </w:t>
            </w:r>
            <w:r w:rsidR="006F0059" w:rsidRPr="00FE3F3D">
              <w:t>day 1)</w:t>
            </w:r>
            <w:r w:rsidR="00E14E85" w:rsidRPr="00FE3F3D">
              <w:t xml:space="preserve"> per jury</w:t>
            </w:r>
          </w:p>
        </w:tc>
      </w:tr>
      <w:tr w:rsidR="00AE65A1" w:rsidTr="000B26B1">
        <w:tc>
          <w:tcPr>
            <w:tcW w:w="1668" w:type="dxa"/>
          </w:tcPr>
          <w:p w:rsidR="00AE65A1" w:rsidRDefault="00AE65A1" w:rsidP="00333B24">
            <w:r>
              <w:t>Jury method</w:t>
            </w:r>
          </w:p>
        </w:tc>
        <w:tc>
          <w:tcPr>
            <w:tcW w:w="7574" w:type="dxa"/>
          </w:tcPr>
          <w:p w:rsidR="00AE65A1" w:rsidRPr="00FE3F3D" w:rsidRDefault="00AE65A1" w:rsidP="004F60AD">
            <w:r w:rsidRPr="00FE3F3D">
              <w:t xml:space="preserve">As </w:t>
            </w:r>
            <w:r w:rsidR="004F60AD" w:rsidRPr="00FE3F3D">
              <w:t xml:space="preserve">practised by Jefferson </w:t>
            </w:r>
            <w:proofErr w:type="spellStart"/>
            <w:r w:rsidR="004F60AD" w:rsidRPr="00FE3F3D">
              <w:t>Center</w:t>
            </w:r>
            <w:proofErr w:type="spellEnd"/>
            <w:r w:rsidR="004F60AD" w:rsidRPr="00FE3F3D">
              <w:t xml:space="preserve"> (based on the Jefferson </w:t>
            </w:r>
            <w:proofErr w:type="spellStart"/>
            <w:r w:rsidR="004F60AD" w:rsidRPr="00FE3F3D">
              <w:t>Center’s</w:t>
            </w:r>
            <w:proofErr w:type="spellEnd"/>
            <w:r w:rsidRPr="00FE3F3D">
              <w:t xml:space="preserve"> Citizens' Jury Handbook</w:t>
            </w:r>
            <w:r w:rsidR="004F60AD" w:rsidRPr="00FE3F3D">
              <w:t xml:space="preserve">) </w:t>
            </w:r>
          </w:p>
        </w:tc>
      </w:tr>
      <w:tr w:rsidR="00333B24" w:rsidTr="000B26B1">
        <w:tc>
          <w:tcPr>
            <w:tcW w:w="1668" w:type="dxa"/>
          </w:tcPr>
          <w:p w:rsidR="00333B24" w:rsidRDefault="003A4CA6" w:rsidP="00333B24">
            <w:r>
              <w:t>Juror eligibility criteria</w:t>
            </w:r>
            <w:r w:rsidR="00BB2A1F">
              <w:rPr>
                <w:rStyle w:val="FootnoteReference"/>
              </w:rPr>
              <w:footnoteReference w:id="2"/>
            </w:r>
          </w:p>
        </w:tc>
        <w:tc>
          <w:tcPr>
            <w:tcW w:w="7574" w:type="dxa"/>
          </w:tcPr>
          <w:p w:rsidR="00333B24" w:rsidRPr="00FE3F3D" w:rsidRDefault="003A4CA6" w:rsidP="00333B24">
            <w:r w:rsidRPr="00FE3F3D">
              <w:t xml:space="preserve">Resident in </w:t>
            </w:r>
            <w:r w:rsidR="00237206" w:rsidRPr="00FE3F3D">
              <w:t>UK</w:t>
            </w:r>
            <w:r w:rsidRPr="00FE3F3D">
              <w:t xml:space="preserve"> for 1 year minimum</w:t>
            </w:r>
          </w:p>
          <w:p w:rsidR="003A4CA6" w:rsidRPr="00FE3F3D" w:rsidRDefault="003A4CA6" w:rsidP="00333B24">
            <w:r w:rsidRPr="00FE3F3D">
              <w:t>Over 18 years of age</w:t>
            </w:r>
          </w:p>
          <w:p w:rsidR="00DD117D" w:rsidRPr="00FE3F3D" w:rsidRDefault="00237206" w:rsidP="00333B24">
            <w:r w:rsidRPr="00FE3F3D">
              <w:t xml:space="preserve">Has </w:t>
            </w:r>
            <w:r w:rsidR="00DD117D" w:rsidRPr="00FE3F3D">
              <w:t>capacity to consent to participation in jury</w:t>
            </w:r>
          </w:p>
          <w:p w:rsidR="00237206" w:rsidRPr="00FE3F3D" w:rsidRDefault="00237206" w:rsidP="00333B24">
            <w:r w:rsidRPr="00FE3F3D">
              <w:t>Has capability to contribute constructively to jury</w:t>
            </w:r>
          </w:p>
          <w:p w:rsidR="003A4CA6" w:rsidRPr="00FE3F3D" w:rsidRDefault="003A4CA6" w:rsidP="00333B24">
            <w:r w:rsidRPr="00FE3F3D">
              <w:t>Fluent in English</w:t>
            </w:r>
          </w:p>
        </w:tc>
      </w:tr>
      <w:tr w:rsidR="00333B24" w:rsidTr="000B26B1">
        <w:tc>
          <w:tcPr>
            <w:tcW w:w="1668" w:type="dxa"/>
          </w:tcPr>
          <w:p w:rsidR="00333B24" w:rsidRDefault="003A4CA6" w:rsidP="00BB2A1F">
            <w:r>
              <w:t>Juror exclusion criteri</w:t>
            </w:r>
            <w:r w:rsidR="00BB2A1F">
              <w:t>on</w:t>
            </w:r>
            <w:r w:rsidR="00237206">
              <w:rPr>
                <w:rStyle w:val="FootnoteReference"/>
              </w:rPr>
              <w:footnoteReference w:id="3"/>
            </w:r>
          </w:p>
        </w:tc>
        <w:tc>
          <w:tcPr>
            <w:tcW w:w="7574" w:type="dxa"/>
          </w:tcPr>
          <w:p w:rsidR="006601C6" w:rsidRPr="00FE3F3D" w:rsidRDefault="003A4CA6" w:rsidP="00333B24">
            <w:r w:rsidRPr="00FE3F3D">
              <w:t xml:space="preserve">Special interest or conflict of interest </w:t>
            </w:r>
            <w:r w:rsidR="001B41FF" w:rsidRPr="00FE3F3D">
              <w:t xml:space="preserve">(e.g. health researcher) </w:t>
            </w:r>
            <w:r w:rsidRPr="00FE3F3D">
              <w:t xml:space="preserve">in jury </w:t>
            </w:r>
            <w:r w:rsidR="00237206" w:rsidRPr="00FE3F3D">
              <w:t>questions</w:t>
            </w:r>
          </w:p>
        </w:tc>
      </w:tr>
      <w:tr w:rsidR="006601C6" w:rsidTr="000B26B1">
        <w:tc>
          <w:tcPr>
            <w:tcW w:w="1668" w:type="dxa"/>
          </w:tcPr>
          <w:p w:rsidR="006601C6" w:rsidRDefault="00577295" w:rsidP="00C10212">
            <w:r>
              <w:t>Juror</w:t>
            </w:r>
            <w:r w:rsidR="006601C6">
              <w:t xml:space="preserve"> recruitment method</w:t>
            </w:r>
          </w:p>
        </w:tc>
        <w:tc>
          <w:tcPr>
            <w:tcW w:w="7574" w:type="dxa"/>
          </w:tcPr>
          <w:p w:rsidR="001826D8" w:rsidRPr="00FE3F3D" w:rsidRDefault="00237206" w:rsidP="00E86446">
            <w:r w:rsidRPr="00FE3F3D">
              <w:t>Indeed job recruitment website</w:t>
            </w:r>
            <w:r w:rsidR="00534B4D" w:rsidRPr="00FE3F3D">
              <w:t>, volunteer website</w:t>
            </w:r>
            <w:r w:rsidR="00191BB7" w:rsidRPr="00FE3F3D">
              <w:t>s</w:t>
            </w:r>
            <w:r w:rsidR="00F665CF" w:rsidRPr="00FE3F3D">
              <w:t xml:space="preserve">, </w:t>
            </w:r>
            <w:proofErr w:type="spellStart"/>
            <w:r w:rsidR="00F665CF" w:rsidRPr="00FE3F3D">
              <w:t>Healthwatch</w:t>
            </w:r>
            <w:proofErr w:type="spellEnd"/>
          </w:p>
        </w:tc>
      </w:tr>
      <w:tr w:rsidR="00577295" w:rsidTr="000B26B1">
        <w:tc>
          <w:tcPr>
            <w:tcW w:w="1668" w:type="dxa"/>
          </w:tcPr>
          <w:p w:rsidR="00577295" w:rsidRDefault="00577295" w:rsidP="00C10212">
            <w:r>
              <w:lastRenderedPageBreak/>
              <w:t>Juror payment</w:t>
            </w:r>
          </w:p>
        </w:tc>
        <w:tc>
          <w:tcPr>
            <w:tcW w:w="7574" w:type="dxa"/>
          </w:tcPr>
          <w:p w:rsidR="00237206" w:rsidRPr="00FE3F3D" w:rsidRDefault="00095370" w:rsidP="00333B24">
            <w:r w:rsidRPr="00FE3F3D">
              <w:t>£</w:t>
            </w:r>
            <w:r w:rsidR="00191BB7" w:rsidRPr="00FE3F3D">
              <w:t>480</w:t>
            </w:r>
            <w:r w:rsidR="00BE0139" w:rsidRPr="00FE3F3D">
              <w:t xml:space="preserve"> </w:t>
            </w:r>
            <w:r w:rsidR="00EB2511" w:rsidRPr="00FE3F3D">
              <w:t xml:space="preserve">per juror </w:t>
            </w:r>
            <w:r w:rsidR="00C85F1D" w:rsidRPr="00FE3F3D">
              <w:t>for participation in full event.</w:t>
            </w:r>
          </w:p>
          <w:p w:rsidR="00577295" w:rsidRPr="00FE3F3D" w:rsidRDefault="00EB2511" w:rsidP="00C85F1D">
            <w:r w:rsidRPr="00FE3F3D">
              <w:t>£</w:t>
            </w:r>
            <w:r w:rsidR="00191BB7" w:rsidRPr="00FE3F3D">
              <w:t>80</w:t>
            </w:r>
            <w:r w:rsidR="00371EA9" w:rsidRPr="00FE3F3D">
              <w:t xml:space="preserve"> </w:t>
            </w:r>
            <w:r w:rsidR="00EE1C88" w:rsidRPr="00FE3F3D">
              <w:t xml:space="preserve">each </w:t>
            </w:r>
            <w:r w:rsidRPr="00FE3F3D">
              <w:t xml:space="preserve">for </w:t>
            </w:r>
            <w:r w:rsidR="001826D8" w:rsidRPr="00FE3F3D">
              <w:t>3</w:t>
            </w:r>
            <w:r w:rsidRPr="00FE3F3D">
              <w:t xml:space="preserve"> reserve jurors</w:t>
            </w:r>
            <w:r w:rsidR="00191BB7" w:rsidRPr="00FE3F3D">
              <w:t xml:space="preserve"> per jury</w:t>
            </w:r>
            <w:r w:rsidRPr="00FE3F3D">
              <w:t xml:space="preserve"> </w:t>
            </w:r>
            <w:r w:rsidR="00577295" w:rsidRPr="00FE3F3D">
              <w:t xml:space="preserve">for saving </w:t>
            </w:r>
            <w:r w:rsidR="00C85F1D" w:rsidRPr="00FE3F3D">
              <w:t xml:space="preserve">all </w:t>
            </w:r>
            <w:r w:rsidR="00577295" w:rsidRPr="00FE3F3D">
              <w:t xml:space="preserve">the </w:t>
            </w:r>
            <w:r w:rsidRPr="00FE3F3D">
              <w:t xml:space="preserve">diary </w:t>
            </w:r>
            <w:r w:rsidR="00577295" w:rsidRPr="00FE3F3D">
              <w:t xml:space="preserve">dates and </w:t>
            </w:r>
            <w:r w:rsidR="00C85F1D" w:rsidRPr="00FE3F3D">
              <w:t xml:space="preserve">for participation in first </w:t>
            </w:r>
            <w:r w:rsidR="00191BB7" w:rsidRPr="00FE3F3D">
              <w:t>4.5</w:t>
            </w:r>
            <w:r w:rsidR="00C85F1D" w:rsidRPr="00FE3F3D">
              <w:t xml:space="preserve"> hour session on day 1.</w:t>
            </w:r>
            <w:r w:rsidR="00237206" w:rsidRPr="00FE3F3D">
              <w:t xml:space="preserve"> </w:t>
            </w:r>
          </w:p>
          <w:p w:rsidR="00C85F1D" w:rsidRPr="00FE3F3D" w:rsidRDefault="00C85F1D" w:rsidP="00C85F1D">
            <w:r w:rsidRPr="00FE3F3D">
              <w:t>All paid by electronic bank transfer.</w:t>
            </w:r>
          </w:p>
        </w:tc>
      </w:tr>
      <w:tr w:rsidR="00333B24" w:rsidTr="000B26B1">
        <w:tc>
          <w:tcPr>
            <w:tcW w:w="1668" w:type="dxa"/>
          </w:tcPr>
          <w:p w:rsidR="00333B24" w:rsidRDefault="00C10212" w:rsidP="00095370">
            <w:r>
              <w:t>Jury sample controls</w:t>
            </w:r>
            <w:r w:rsidR="00190DB3">
              <w:t xml:space="preserve"> </w:t>
            </w:r>
            <w:r w:rsidR="00190DB3" w:rsidRPr="007547B3">
              <w:t xml:space="preserve">(to represent </w:t>
            </w:r>
            <w:r w:rsidR="000B26B1" w:rsidRPr="007547B3">
              <w:t xml:space="preserve">adult </w:t>
            </w:r>
            <w:r w:rsidR="00190DB3" w:rsidRPr="007547B3">
              <w:t>residents of England)</w:t>
            </w:r>
          </w:p>
        </w:tc>
        <w:tc>
          <w:tcPr>
            <w:tcW w:w="7574" w:type="dxa"/>
          </w:tcPr>
          <w:p w:rsidR="00333B24" w:rsidRPr="00FE3F3D" w:rsidRDefault="009451D9" w:rsidP="00333B24">
            <w:pPr>
              <w:spacing w:after="200" w:line="276" w:lineRule="auto"/>
            </w:pPr>
            <w:r w:rsidRPr="00FE3F3D">
              <w:t>Gender (as chosen by applicant)</w:t>
            </w:r>
          </w:p>
          <w:p w:rsidR="00C10212" w:rsidRPr="00FE3F3D" w:rsidRDefault="009451D9" w:rsidP="00333B24">
            <w:pPr>
              <w:spacing w:after="200" w:line="276" w:lineRule="auto"/>
            </w:pPr>
            <w:r w:rsidRPr="00FE3F3D">
              <w:t>Age range</w:t>
            </w:r>
          </w:p>
          <w:p w:rsidR="00C10212" w:rsidRPr="00FE3F3D" w:rsidRDefault="009451D9" w:rsidP="00333B24">
            <w:pPr>
              <w:tabs>
                <w:tab w:val="center" w:pos="4513"/>
                <w:tab w:val="right" w:pos="9026"/>
              </w:tabs>
              <w:spacing w:after="200" w:line="276" w:lineRule="auto"/>
            </w:pPr>
            <w:r w:rsidRPr="00FE3F3D">
              <w:t>Ethnicity</w:t>
            </w:r>
          </w:p>
          <w:p w:rsidR="00E50264" w:rsidRPr="00FE3F3D" w:rsidRDefault="009451D9" w:rsidP="00E50264">
            <w:pPr>
              <w:tabs>
                <w:tab w:val="center" w:pos="4513"/>
                <w:tab w:val="right" w:pos="9026"/>
              </w:tabs>
              <w:spacing w:after="200" w:line="276" w:lineRule="auto"/>
            </w:pPr>
            <w:r w:rsidRPr="00FE3F3D">
              <w:t>Educational attainment</w:t>
            </w:r>
          </w:p>
          <w:p w:rsidR="00E50264" w:rsidRPr="00FE3F3D" w:rsidRDefault="009451D9" w:rsidP="00E50264">
            <w:r w:rsidRPr="00FE3F3D">
              <w:t>Employment status</w:t>
            </w:r>
          </w:p>
          <w:p w:rsidR="00C10212" w:rsidRPr="00FE3F3D" w:rsidRDefault="00624710" w:rsidP="00E14E85">
            <w:r w:rsidRPr="00FE3F3D">
              <w:t xml:space="preserve">Prior views on </w:t>
            </w:r>
            <w:r w:rsidR="00280505" w:rsidRPr="00FE3F3D">
              <w:t>attitudes to data sharing in a</w:t>
            </w:r>
            <w:r w:rsidR="00335BA4" w:rsidRPr="00FE3F3D">
              <w:t xml:space="preserve"> pandemic (see below)</w:t>
            </w:r>
          </w:p>
          <w:p w:rsidR="00C85F1D" w:rsidRPr="00FE3F3D" w:rsidRDefault="00C85F1D" w:rsidP="00E14E85">
            <w:r w:rsidRPr="00FE3F3D">
              <w:t>For national jury, a broad geographical spread across England will also be sought</w:t>
            </w:r>
          </w:p>
        </w:tc>
      </w:tr>
      <w:tr w:rsidR="00333B24" w:rsidTr="000B26B1">
        <w:tc>
          <w:tcPr>
            <w:tcW w:w="1668" w:type="dxa"/>
          </w:tcPr>
          <w:p w:rsidR="00333B24" w:rsidRDefault="00F9265D" w:rsidP="00957655">
            <w:r>
              <w:t>Target sample</w:t>
            </w:r>
            <w:r w:rsidR="00F859AA">
              <w:t xml:space="preserve"> - </w:t>
            </w:r>
            <w:r w:rsidR="00957655">
              <w:t>Gender</w:t>
            </w:r>
            <w:r w:rsidR="00344A68">
              <w:rPr>
                <w:rStyle w:val="FootnoteReference"/>
              </w:rPr>
              <w:footnoteReference w:id="4"/>
            </w:r>
          </w:p>
        </w:tc>
        <w:tc>
          <w:tcPr>
            <w:tcW w:w="7574" w:type="dxa"/>
          </w:tcPr>
          <w:p w:rsidR="008A2B50" w:rsidRPr="00FE3F3D" w:rsidRDefault="008A2B50" w:rsidP="008A2B50">
            <w:r w:rsidRPr="00FE3F3D">
              <w:t>Females: 51%, 8 - 10 jurors</w:t>
            </w:r>
          </w:p>
          <w:p w:rsidR="00F9265D" w:rsidRPr="00FE3F3D" w:rsidRDefault="008A2B50" w:rsidP="008A2B50">
            <w:r w:rsidRPr="00FE3F3D">
              <w:t xml:space="preserve">Males: 49%, </w:t>
            </w:r>
            <w:r w:rsidR="001169C5" w:rsidRPr="00FE3F3D">
              <w:t>8 - 10</w:t>
            </w:r>
            <w:r w:rsidR="00F9265D" w:rsidRPr="00FE3F3D">
              <w:t xml:space="preserve"> </w:t>
            </w:r>
            <w:r w:rsidRPr="00FE3F3D">
              <w:t>jurors</w:t>
            </w:r>
          </w:p>
          <w:p w:rsidR="00957655" w:rsidRPr="00FE3F3D" w:rsidRDefault="00957655" w:rsidP="008A2B50">
            <w:r w:rsidRPr="00FE3F3D">
              <w:t>Other: 0 - 1 jurors</w:t>
            </w:r>
          </w:p>
        </w:tc>
      </w:tr>
      <w:tr w:rsidR="00333B24" w:rsidTr="000B26B1">
        <w:tc>
          <w:tcPr>
            <w:tcW w:w="1668" w:type="dxa"/>
          </w:tcPr>
          <w:p w:rsidR="00333B24" w:rsidRDefault="00F859AA" w:rsidP="00333B24">
            <w:r>
              <w:t>Target sample - Age</w:t>
            </w:r>
            <w:r w:rsidR="00206C78">
              <w:rPr>
                <w:rStyle w:val="FootnoteReference"/>
              </w:rPr>
              <w:footnoteReference w:id="5"/>
            </w:r>
          </w:p>
        </w:tc>
        <w:tc>
          <w:tcPr>
            <w:tcW w:w="7574" w:type="dxa"/>
          </w:tcPr>
          <w:p w:rsidR="00790785" w:rsidRPr="00FE3F3D" w:rsidRDefault="006057ED" w:rsidP="00790785">
            <w:r w:rsidRPr="00FE3F3D">
              <w:t>Aged 18-29</w:t>
            </w:r>
            <w:r w:rsidR="00790785" w:rsidRPr="00FE3F3D">
              <w:t>:  21%, 2 - 5 jurors</w:t>
            </w:r>
          </w:p>
          <w:p w:rsidR="006057ED" w:rsidRPr="00FE3F3D" w:rsidRDefault="006057ED" w:rsidP="00333B24">
            <w:r w:rsidRPr="00FE3F3D">
              <w:t>Aged 30-44</w:t>
            </w:r>
            <w:r w:rsidR="00790785" w:rsidRPr="00FE3F3D">
              <w:t>: 26%, 3 - 6 jurors</w:t>
            </w:r>
          </w:p>
          <w:p w:rsidR="00333B24" w:rsidRPr="00FE3F3D" w:rsidRDefault="006057ED" w:rsidP="00333B24">
            <w:r w:rsidRPr="00FE3F3D">
              <w:t>Aged 45-59</w:t>
            </w:r>
            <w:r w:rsidR="00790785" w:rsidRPr="00FE3F3D">
              <w:t>: 25%, 3 - 6 jurors</w:t>
            </w:r>
          </w:p>
          <w:p w:rsidR="006057ED" w:rsidRPr="00FE3F3D" w:rsidRDefault="00790785" w:rsidP="00790785">
            <w:r w:rsidRPr="00FE3F3D">
              <w:t xml:space="preserve">Aged </w:t>
            </w:r>
            <w:r w:rsidR="006057ED" w:rsidRPr="00FE3F3D">
              <w:t>60</w:t>
            </w:r>
            <w:r w:rsidRPr="00FE3F3D">
              <w:t>+: 28%,</w:t>
            </w:r>
            <w:r w:rsidRPr="00FE3F3D">
              <w:tab/>
              <w:t>4 - 7 jurors</w:t>
            </w:r>
          </w:p>
        </w:tc>
      </w:tr>
      <w:tr w:rsidR="00333B24" w:rsidTr="000B26B1">
        <w:tc>
          <w:tcPr>
            <w:tcW w:w="1668" w:type="dxa"/>
          </w:tcPr>
          <w:p w:rsidR="00333B24" w:rsidRDefault="00F859AA" w:rsidP="00333B24">
            <w:r>
              <w:t xml:space="preserve">Target sample </w:t>
            </w:r>
            <w:r w:rsidR="00AE5842">
              <w:t>–</w:t>
            </w:r>
            <w:r>
              <w:t xml:space="preserve"> E</w:t>
            </w:r>
            <w:r w:rsidR="00AE5842">
              <w:t>thnic group</w:t>
            </w:r>
            <w:r w:rsidR="00344A68">
              <w:rPr>
                <w:rStyle w:val="FootnoteReference"/>
              </w:rPr>
              <w:footnoteReference w:id="6"/>
            </w:r>
          </w:p>
        </w:tc>
        <w:tc>
          <w:tcPr>
            <w:tcW w:w="7574" w:type="dxa"/>
          </w:tcPr>
          <w:p w:rsidR="00AE5842" w:rsidRPr="00FE3F3D" w:rsidRDefault="00E50264" w:rsidP="00AE5842">
            <w:r w:rsidRPr="00FE3F3D">
              <w:t>White: 85%, 14 - 16</w:t>
            </w:r>
            <w:r w:rsidR="00AE5842" w:rsidRPr="00FE3F3D">
              <w:t xml:space="preserve"> jurors</w:t>
            </w:r>
          </w:p>
          <w:p w:rsidR="00460797" w:rsidRDefault="00AE5842" w:rsidP="006D26F1">
            <w:r w:rsidRPr="00FE3F3D">
              <w:t xml:space="preserve">Groups other than White: 15%, </w:t>
            </w:r>
            <w:r w:rsidR="00F47E9C" w:rsidRPr="00FE3F3D">
              <w:t xml:space="preserve">2 </w:t>
            </w:r>
            <w:r w:rsidRPr="00FE3F3D">
              <w:t xml:space="preserve">- </w:t>
            </w:r>
            <w:r w:rsidR="00334ACF" w:rsidRPr="00FE3F3D">
              <w:t>4</w:t>
            </w:r>
            <w:r w:rsidR="006D26F1" w:rsidRPr="00FE3F3D">
              <w:t xml:space="preserve"> </w:t>
            </w:r>
            <w:r w:rsidRPr="00FE3F3D">
              <w:t>jurors</w:t>
            </w:r>
          </w:p>
          <w:p w:rsidR="00460797" w:rsidRPr="00FE3F3D" w:rsidRDefault="00460797" w:rsidP="006D26F1">
            <w:r>
              <w:t>[</w:t>
            </w:r>
            <w:r w:rsidRPr="00460797">
              <w:t>Black / African / Caribbean / Black British (0-1 jurors); Mixed / Multiple ethnic groups (0-1 jurors); Asian/ British Asian (0-2 jurors); Other (0-1</w:t>
            </w:r>
            <w:r>
              <w:t xml:space="preserve"> jurors</w:t>
            </w:r>
            <w:r w:rsidRPr="00460797">
              <w:t>)</w:t>
            </w:r>
            <w:r>
              <w:t>]</w:t>
            </w:r>
          </w:p>
        </w:tc>
      </w:tr>
      <w:tr w:rsidR="00333B24" w:rsidTr="000B26B1">
        <w:tc>
          <w:tcPr>
            <w:tcW w:w="1668" w:type="dxa"/>
          </w:tcPr>
          <w:p w:rsidR="00333B24" w:rsidRDefault="00F859AA" w:rsidP="00333B24">
            <w:r w:rsidRPr="00F859AA">
              <w:t>Target sample -</w:t>
            </w:r>
            <w:r>
              <w:t xml:space="preserve"> </w:t>
            </w:r>
            <w:r w:rsidRPr="00F859AA">
              <w:t>Educational attainment</w:t>
            </w:r>
            <w:r w:rsidR="00344A68">
              <w:rPr>
                <w:rStyle w:val="FootnoteReference"/>
              </w:rPr>
              <w:footnoteReference w:id="7"/>
            </w:r>
          </w:p>
        </w:tc>
        <w:tc>
          <w:tcPr>
            <w:tcW w:w="7574" w:type="dxa"/>
          </w:tcPr>
          <w:p w:rsidR="00333B24" w:rsidRPr="00FE3F3D" w:rsidRDefault="00B2245C" w:rsidP="00333B24">
            <w:r w:rsidRPr="00FE3F3D">
              <w:t>Level 1 or no qualifications: 36%, 5 - 8 jurors</w:t>
            </w:r>
          </w:p>
          <w:p w:rsidR="00B2245C" w:rsidRPr="00FE3F3D" w:rsidRDefault="00B2245C" w:rsidP="00B2245C">
            <w:r w:rsidRPr="00FE3F3D">
              <w:t>Level 2, level 3, apprenticeship &amp; other qualifications: 37%, 5 - 8 jurors</w:t>
            </w:r>
          </w:p>
          <w:p w:rsidR="00890AF6" w:rsidRPr="00FE3F3D" w:rsidRDefault="00890AF6" w:rsidP="00890AF6">
            <w:r w:rsidRPr="00FE3F3D">
              <w:t>Level 4 qualifications and above: 27%, 4 - 6 jurors</w:t>
            </w:r>
          </w:p>
        </w:tc>
      </w:tr>
      <w:tr w:rsidR="00C86C56" w:rsidTr="000B26B1">
        <w:tc>
          <w:tcPr>
            <w:tcW w:w="1668" w:type="dxa"/>
          </w:tcPr>
          <w:p w:rsidR="00C86C56" w:rsidRDefault="00C86C56" w:rsidP="00333B24">
            <w:r>
              <w:t>Target sample – employment status</w:t>
            </w:r>
            <w:r w:rsidR="00C02679">
              <w:rPr>
                <w:rStyle w:val="FootnoteReference"/>
              </w:rPr>
              <w:footnoteReference w:id="8"/>
            </w:r>
          </w:p>
        </w:tc>
        <w:tc>
          <w:tcPr>
            <w:tcW w:w="7574" w:type="dxa"/>
          </w:tcPr>
          <w:p w:rsidR="00C86C56" w:rsidRPr="00FE3F3D" w:rsidRDefault="00C86C56" w:rsidP="00C86C56">
            <w:r w:rsidRPr="00FE3F3D">
              <w:t xml:space="preserve">Employed or self-employed: </w:t>
            </w:r>
            <w:r w:rsidR="00845AFE" w:rsidRPr="00FE3F3D">
              <w:t>75</w:t>
            </w:r>
            <w:r w:rsidRPr="00FE3F3D">
              <w:t>%</w:t>
            </w:r>
            <w:r w:rsidR="00845AFE" w:rsidRPr="00FE3F3D">
              <w:t xml:space="preserve"> of 16-64 year olds, </w:t>
            </w:r>
            <w:r w:rsidRPr="00FE3F3D">
              <w:t xml:space="preserve"> </w:t>
            </w:r>
            <w:r w:rsidR="001826D8" w:rsidRPr="00FE3F3D">
              <w:t>8-14</w:t>
            </w:r>
            <w:r w:rsidRPr="00FE3F3D">
              <w:t xml:space="preserve"> jurors</w:t>
            </w:r>
          </w:p>
        </w:tc>
      </w:tr>
      <w:tr w:rsidR="00333B24" w:rsidTr="000B26B1">
        <w:tc>
          <w:tcPr>
            <w:tcW w:w="1668" w:type="dxa"/>
          </w:tcPr>
          <w:p w:rsidR="00333B24" w:rsidRDefault="00F859AA" w:rsidP="00054CDC">
            <w:r>
              <w:t xml:space="preserve">Target sample – </w:t>
            </w:r>
            <w:r w:rsidR="00054CDC">
              <w:t xml:space="preserve">Prior </w:t>
            </w:r>
            <w:r>
              <w:t>views</w:t>
            </w:r>
            <w:r w:rsidR="00285B99">
              <w:rPr>
                <w:rStyle w:val="FootnoteReference"/>
              </w:rPr>
              <w:footnoteReference w:id="9"/>
            </w:r>
          </w:p>
        </w:tc>
        <w:tc>
          <w:tcPr>
            <w:tcW w:w="7574" w:type="dxa"/>
          </w:tcPr>
          <w:p w:rsidR="004E0A68" w:rsidRPr="00FE3F3D" w:rsidRDefault="00032573" w:rsidP="004E0A68">
            <w:r w:rsidRPr="00FE3F3D">
              <w:t xml:space="preserve">Q: </w:t>
            </w:r>
            <w:r w:rsidR="004E0A68" w:rsidRPr="00FE3F3D">
              <w:t xml:space="preserve">Thinking about your confidential NHS and social care information, please indicate how concerned you are about ...: </w:t>
            </w:r>
            <w:r w:rsidR="00857B97" w:rsidRPr="00FE3F3D">
              <w:t>Data being shared unlawfully or accidentally with organisations outside of the NHS and care system</w:t>
            </w:r>
            <w:r w:rsidR="004E0A68" w:rsidRPr="00FE3F3D">
              <w:t xml:space="preserve">.  </w:t>
            </w:r>
          </w:p>
          <w:p w:rsidR="004E0A68" w:rsidRPr="00FE3F3D" w:rsidRDefault="004E0A68" w:rsidP="004E0A68">
            <w:r w:rsidRPr="00FE3F3D">
              <w:t xml:space="preserve">  </w:t>
            </w:r>
          </w:p>
          <w:p w:rsidR="001946DD" w:rsidRPr="00FE3F3D" w:rsidRDefault="004E0A68">
            <w:pPr>
              <w:pStyle w:val="ListParagraph"/>
              <w:numPr>
                <w:ilvl w:val="0"/>
                <w:numId w:val="46"/>
              </w:numPr>
            </w:pPr>
            <w:r w:rsidRPr="00FE3F3D">
              <w:t xml:space="preserve">I don’t know/I haven’t really thought about this </w:t>
            </w:r>
          </w:p>
          <w:p w:rsidR="001946DD" w:rsidRPr="00FE3F3D" w:rsidRDefault="004E0A68">
            <w:pPr>
              <w:pStyle w:val="ListParagraph"/>
              <w:numPr>
                <w:ilvl w:val="0"/>
                <w:numId w:val="46"/>
              </w:numPr>
            </w:pPr>
            <w:r w:rsidRPr="00FE3F3D">
              <w:t xml:space="preserve">I am very concerned about this </w:t>
            </w:r>
          </w:p>
          <w:p w:rsidR="001946DD" w:rsidRPr="00FE3F3D" w:rsidRDefault="004E0A68">
            <w:pPr>
              <w:pStyle w:val="ListParagraph"/>
              <w:numPr>
                <w:ilvl w:val="0"/>
                <w:numId w:val="46"/>
              </w:numPr>
            </w:pPr>
            <w:r w:rsidRPr="00FE3F3D">
              <w:t>I am qu</w:t>
            </w:r>
            <w:r w:rsidR="00857B97" w:rsidRPr="00FE3F3D">
              <w:t>ite concerned about this</w:t>
            </w:r>
          </w:p>
          <w:p w:rsidR="00440674" w:rsidRDefault="004E0A68">
            <w:pPr>
              <w:pStyle w:val="ListParagraph"/>
              <w:numPr>
                <w:ilvl w:val="0"/>
                <w:numId w:val="46"/>
              </w:numPr>
            </w:pPr>
            <w:r w:rsidRPr="00FE3F3D">
              <w:t>I am not r</w:t>
            </w:r>
            <w:r w:rsidR="00857B97" w:rsidRPr="00FE3F3D">
              <w:t>eally concerned about this</w:t>
            </w:r>
          </w:p>
          <w:p w:rsidR="001946DD" w:rsidRPr="00FE3F3D" w:rsidRDefault="001946DD" w:rsidP="00440674">
            <w:pPr>
              <w:pStyle w:val="ListParagraph"/>
            </w:pPr>
          </w:p>
          <w:p w:rsidR="00E50264" w:rsidRPr="00FE3F3D" w:rsidRDefault="002604DB" w:rsidP="00E50264">
            <w:r w:rsidRPr="00FE3F3D">
              <w:lastRenderedPageBreak/>
              <w:t>a)</w:t>
            </w:r>
            <w:r w:rsidR="00857B97" w:rsidRPr="00FE3F3D">
              <w:t>18</w:t>
            </w:r>
            <w:r w:rsidR="00E50264" w:rsidRPr="00FE3F3D">
              <w:t xml:space="preserve">%, </w:t>
            </w:r>
            <w:r w:rsidR="00857B97" w:rsidRPr="00FE3F3D">
              <w:t>2</w:t>
            </w:r>
            <w:r w:rsidR="004E0A68" w:rsidRPr="00FE3F3D">
              <w:t xml:space="preserve"> </w:t>
            </w:r>
            <w:r w:rsidR="00BB433A" w:rsidRPr="00FE3F3D">
              <w:t xml:space="preserve">- </w:t>
            </w:r>
            <w:r w:rsidR="00857B97" w:rsidRPr="00FE3F3D">
              <w:t>4</w:t>
            </w:r>
            <w:r w:rsidR="004E0A68" w:rsidRPr="00FE3F3D">
              <w:t xml:space="preserve"> </w:t>
            </w:r>
            <w:r w:rsidR="00E50264" w:rsidRPr="00FE3F3D">
              <w:t>jurors per jury</w:t>
            </w:r>
          </w:p>
          <w:p w:rsidR="00E50264" w:rsidRPr="00FE3F3D" w:rsidRDefault="004E0A68" w:rsidP="00E50264">
            <w:r w:rsidRPr="00FE3F3D">
              <w:t>b</w:t>
            </w:r>
            <w:r w:rsidR="002604DB" w:rsidRPr="00FE3F3D">
              <w:t>)</w:t>
            </w:r>
            <w:r w:rsidR="00F75D6D" w:rsidRPr="00FE3F3D">
              <w:t xml:space="preserve">: </w:t>
            </w:r>
            <w:r w:rsidR="00857B97" w:rsidRPr="00FE3F3D">
              <w:t>36</w:t>
            </w:r>
            <w:r w:rsidR="00BB433A" w:rsidRPr="00FE3F3D">
              <w:t>%</w:t>
            </w:r>
            <w:r w:rsidR="00E50264" w:rsidRPr="00FE3F3D">
              <w:t xml:space="preserve">, </w:t>
            </w:r>
            <w:r w:rsidR="00857B97" w:rsidRPr="00FE3F3D">
              <w:t>6</w:t>
            </w:r>
            <w:r w:rsidRPr="00FE3F3D">
              <w:t xml:space="preserve"> - </w:t>
            </w:r>
            <w:r w:rsidR="00857B97" w:rsidRPr="00FE3F3D">
              <w:t>7</w:t>
            </w:r>
            <w:r w:rsidR="00E50264" w:rsidRPr="00FE3F3D">
              <w:t xml:space="preserve"> jurors per jury</w:t>
            </w:r>
          </w:p>
          <w:p w:rsidR="00F75D6D" w:rsidRPr="00FE3F3D" w:rsidRDefault="004E0A68" w:rsidP="00E50264">
            <w:r w:rsidRPr="00FE3F3D">
              <w:t>c</w:t>
            </w:r>
            <w:r w:rsidR="002604DB" w:rsidRPr="00FE3F3D">
              <w:t>):</w:t>
            </w:r>
            <w:r w:rsidR="00BB433A" w:rsidRPr="00FE3F3D">
              <w:t xml:space="preserve"> </w:t>
            </w:r>
            <w:r w:rsidRPr="00FE3F3D">
              <w:t>3</w:t>
            </w:r>
            <w:r w:rsidR="00857B97" w:rsidRPr="00FE3F3D">
              <w:t>2</w:t>
            </w:r>
            <w:r w:rsidRPr="00FE3F3D">
              <w:t>%</w:t>
            </w:r>
            <w:r w:rsidR="00BB433A" w:rsidRPr="00FE3F3D">
              <w:t xml:space="preserve">: </w:t>
            </w:r>
            <w:r w:rsidRPr="00FE3F3D">
              <w:t xml:space="preserve"> 5-7</w:t>
            </w:r>
            <w:r w:rsidR="00BB433A" w:rsidRPr="00FE3F3D">
              <w:t xml:space="preserve"> jurors per jury</w:t>
            </w:r>
          </w:p>
          <w:p w:rsidR="004E0A68" w:rsidRPr="00FE3F3D" w:rsidRDefault="004E0A68" w:rsidP="00E50264">
            <w:r w:rsidRPr="00FE3F3D">
              <w:t xml:space="preserve">d): </w:t>
            </w:r>
            <w:r w:rsidR="00857B97" w:rsidRPr="00FE3F3D">
              <w:t>13% 2</w:t>
            </w:r>
            <w:r w:rsidRPr="00FE3F3D">
              <w:t xml:space="preserve"> – </w:t>
            </w:r>
            <w:r w:rsidR="00857B97" w:rsidRPr="00FE3F3D">
              <w:t>3</w:t>
            </w:r>
            <w:r w:rsidRPr="00FE3F3D">
              <w:t xml:space="preserve"> jurors per jury</w:t>
            </w:r>
          </w:p>
          <w:p w:rsidR="00304E94" w:rsidRPr="00FE3F3D" w:rsidRDefault="00304E94" w:rsidP="00B1232E"/>
        </w:tc>
      </w:tr>
      <w:tr w:rsidR="00E76D7C" w:rsidTr="000B26B1">
        <w:tc>
          <w:tcPr>
            <w:tcW w:w="1668" w:type="dxa"/>
          </w:tcPr>
          <w:p w:rsidR="00E76D7C" w:rsidRDefault="00E76D7C" w:rsidP="00333B24">
            <w:r>
              <w:lastRenderedPageBreak/>
              <w:t>Oversight Panel</w:t>
            </w:r>
          </w:p>
        </w:tc>
        <w:tc>
          <w:tcPr>
            <w:tcW w:w="7574" w:type="dxa"/>
          </w:tcPr>
          <w:p w:rsidR="00F82BCF" w:rsidRPr="00FE3F3D" w:rsidRDefault="00EE1C88" w:rsidP="00333B24">
            <w:r w:rsidRPr="00FE3F3D">
              <w:t>Rachel Thomson, Swansea University</w:t>
            </w:r>
          </w:p>
          <w:p w:rsidR="004866FD" w:rsidRDefault="00A4607F" w:rsidP="00333B24">
            <w:r w:rsidRPr="00FE3F3D">
              <w:t>Katherine Wright, Nuffield Council on Bioethics</w:t>
            </w:r>
          </w:p>
          <w:p w:rsidR="00E070B0" w:rsidRPr="00FE3F3D" w:rsidRDefault="00E070B0" w:rsidP="00333B24">
            <w:r>
              <w:t xml:space="preserve">Christine Patch, </w:t>
            </w:r>
            <w:proofErr w:type="spellStart"/>
            <w:r>
              <w:t>Caldicott</w:t>
            </w:r>
            <w:proofErr w:type="spellEnd"/>
            <w:r>
              <w:t xml:space="preserve"> Guardian for Genomics England</w:t>
            </w:r>
          </w:p>
        </w:tc>
      </w:tr>
      <w:tr w:rsidR="00333B24" w:rsidTr="000B26B1">
        <w:tc>
          <w:tcPr>
            <w:tcW w:w="1668" w:type="dxa"/>
          </w:tcPr>
          <w:p w:rsidR="00333B24" w:rsidRDefault="00527C9E" w:rsidP="00333B24">
            <w:r>
              <w:t>Controls for bias</w:t>
            </w:r>
          </w:p>
        </w:tc>
        <w:tc>
          <w:tcPr>
            <w:tcW w:w="7574" w:type="dxa"/>
          </w:tcPr>
          <w:p w:rsidR="00333B24" w:rsidRPr="00FE3F3D" w:rsidRDefault="00527C9E" w:rsidP="00333B24">
            <w:r w:rsidRPr="00FE3F3D">
              <w:t>Oversight Panel to review jury specification</w:t>
            </w:r>
            <w:r w:rsidR="004A3EB9" w:rsidRPr="00FE3F3D">
              <w:t>, design</w:t>
            </w:r>
            <w:r w:rsidRPr="00FE3F3D">
              <w:t xml:space="preserve"> and jury materials.</w:t>
            </w:r>
          </w:p>
          <w:p w:rsidR="00DA641E" w:rsidRPr="00FE3F3D" w:rsidRDefault="00DA641E" w:rsidP="00333B24">
            <w:r w:rsidRPr="00FE3F3D">
              <w:t xml:space="preserve">Oversight panel to contain a minimum of three people with no conflict of interest in the jury outcomes (though </w:t>
            </w:r>
            <w:r w:rsidR="00C749A8" w:rsidRPr="00FE3F3D">
              <w:t xml:space="preserve">they </w:t>
            </w:r>
            <w:r w:rsidRPr="00FE3F3D">
              <w:t xml:space="preserve">may have a special interest in the jury </w:t>
            </w:r>
            <w:r w:rsidR="0047439E" w:rsidRPr="00FE3F3D">
              <w:t>questions</w:t>
            </w:r>
            <w:r w:rsidRPr="00FE3F3D">
              <w:t>).</w:t>
            </w:r>
          </w:p>
          <w:p w:rsidR="00527C9E" w:rsidRPr="00FE3F3D" w:rsidRDefault="00527C9E" w:rsidP="00333B24">
            <w:r w:rsidRPr="00FE3F3D">
              <w:t>Jury funders</w:t>
            </w:r>
            <w:r w:rsidR="005D73CD" w:rsidRPr="00FE3F3D">
              <w:t xml:space="preserve"> </w:t>
            </w:r>
            <w:r w:rsidR="0047439E" w:rsidRPr="00FE3F3D">
              <w:t xml:space="preserve">to </w:t>
            </w:r>
            <w:r w:rsidR="00875EAE" w:rsidRPr="00FE3F3D">
              <w:t xml:space="preserve">set </w:t>
            </w:r>
            <w:r w:rsidRPr="00FE3F3D">
              <w:t xml:space="preserve">jury </w:t>
            </w:r>
            <w:r w:rsidR="0047439E" w:rsidRPr="00FE3F3D">
              <w:t>questions</w:t>
            </w:r>
            <w:r w:rsidRPr="00FE3F3D">
              <w:t xml:space="preserve"> but </w:t>
            </w:r>
            <w:r w:rsidR="000C0A3A" w:rsidRPr="00FE3F3D">
              <w:t>not determine</w:t>
            </w:r>
            <w:r w:rsidRPr="00FE3F3D">
              <w:t xml:space="preserve"> the jury process and outcomes.</w:t>
            </w:r>
          </w:p>
          <w:p w:rsidR="003957B5" w:rsidRPr="00FE3F3D" w:rsidRDefault="003957B5" w:rsidP="00333B24">
            <w:r w:rsidRPr="00FE3F3D">
              <w:t>Expert witnesses briefed to be either impar</w:t>
            </w:r>
            <w:r w:rsidR="0047439E" w:rsidRPr="00FE3F3D">
              <w:t xml:space="preserve">tial information givers or partial persuaders </w:t>
            </w:r>
            <w:r w:rsidRPr="00FE3F3D">
              <w:t>but not both.</w:t>
            </w:r>
          </w:p>
          <w:p w:rsidR="0047439E" w:rsidRPr="00FE3F3D" w:rsidRDefault="00527C9E" w:rsidP="0047439E">
            <w:r w:rsidRPr="00FE3F3D">
              <w:t xml:space="preserve">Jurors work with facilitators </w:t>
            </w:r>
            <w:r w:rsidR="0047439E" w:rsidRPr="00FE3F3D">
              <w:t xml:space="preserve">during the jury process </w:t>
            </w:r>
            <w:r w:rsidRPr="00FE3F3D">
              <w:t xml:space="preserve">to </w:t>
            </w:r>
            <w:r w:rsidR="0071614F" w:rsidRPr="00FE3F3D">
              <w:t xml:space="preserve">construct </w:t>
            </w:r>
            <w:r w:rsidR="00AA74A3" w:rsidRPr="00FE3F3D">
              <w:t xml:space="preserve">the </w:t>
            </w:r>
            <w:r w:rsidR="0047439E" w:rsidRPr="00FE3F3D">
              <w:t>report of jury results.</w:t>
            </w:r>
          </w:p>
          <w:p w:rsidR="0047439E" w:rsidRPr="00FE3F3D" w:rsidRDefault="0047439E" w:rsidP="0047439E">
            <w:r w:rsidRPr="00FE3F3D">
              <w:t>Oversight Panel and juries to complete questionnaires to identify signs of bias, and questionnaire results are published.</w:t>
            </w:r>
          </w:p>
          <w:p w:rsidR="0047439E" w:rsidRPr="00FE3F3D" w:rsidRDefault="0047439E" w:rsidP="0047439E">
            <w:r w:rsidRPr="00FE3F3D">
              <w:t xml:space="preserve">All </w:t>
            </w:r>
            <w:r w:rsidR="008373AD" w:rsidRPr="00FE3F3D">
              <w:t xml:space="preserve">non-proprietary </w:t>
            </w:r>
            <w:r w:rsidRPr="00FE3F3D">
              <w:t>products from the jury process are published.</w:t>
            </w:r>
          </w:p>
        </w:tc>
      </w:tr>
    </w:tbl>
    <w:p w:rsidR="009E1A5F" w:rsidRDefault="009E1A5F" w:rsidP="00A130C0"/>
    <w:sectPr w:rsidR="009E1A5F" w:rsidSect="005C24A0">
      <w:headerReference w:type="even" r:id="rId14"/>
      <w:footerReference w:type="default" r:id="rId15"/>
      <w:headerReference w:type="first" r:id="rId16"/>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3E35EE4" w15:done="0"/>
  <w15:commentEx w15:paraId="44BC0D38" w15:done="0"/>
  <w15:commentEx w15:paraId="1B49D702" w15:done="0"/>
  <w15:commentEx w15:paraId="7D5406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96CA9" w16cex:dateUtc="2021-01-25T1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E35EE4" w16cid:durableId="23B96C14"/>
  <w16cid:commentId w16cid:paraId="44BC0D38" w16cid:durableId="23B96C15"/>
  <w16cid:commentId w16cid:paraId="1B49D702" w16cid:durableId="23B96CA9"/>
  <w16cid:commentId w16cid:paraId="7D54069D" w16cid:durableId="23B96C1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1C1" w:rsidRDefault="009641C1" w:rsidP="00333B24">
      <w:pPr>
        <w:spacing w:after="0" w:line="240" w:lineRule="auto"/>
      </w:pPr>
      <w:r>
        <w:separator/>
      </w:r>
    </w:p>
  </w:endnote>
  <w:endnote w:type="continuationSeparator" w:id="0">
    <w:p w:rsidR="009641C1" w:rsidRDefault="009641C1" w:rsidP="00333B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975504"/>
      <w:docPartObj>
        <w:docPartGallery w:val="Page Numbers (Bottom of Page)"/>
        <w:docPartUnique/>
      </w:docPartObj>
    </w:sdtPr>
    <w:sdtEndPr>
      <w:rPr>
        <w:noProof/>
      </w:rPr>
    </w:sdtEndPr>
    <w:sdtContent>
      <w:p w:rsidR="00EE7016" w:rsidRDefault="002168B2">
        <w:pPr>
          <w:pStyle w:val="Footer"/>
          <w:jc w:val="right"/>
        </w:pPr>
        <w:r>
          <w:fldChar w:fldCharType="begin"/>
        </w:r>
        <w:r w:rsidR="00630E50">
          <w:instrText xml:space="preserve"> PAGE   \* MERGEFORMAT </w:instrText>
        </w:r>
        <w:r>
          <w:fldChar w:fldCharType="separate"/>
        </w:r>
        <w:r w:rsidR="00574699">
          <w:rPr>
            <w:noProof/>
          </w:rPr>
          <w:t>4</w:t>
        </w:r>
        <w:r>
          <w:rPr>
            <w:noProof/>
          </w:rPr>
          <w:fldChar w:fldCharType="end"/>
        </w:r>
      </w:p>
    </w:sdtContent>
  </w:sdt>
  <w:p w:rsidR="00EE7016" w:rsidRDefault="00EE7016">
    <w:pPr>
      <w:pStyle w:val="Footer"/>
    </w:pPr>
    <w:r>
      <w:t xml:space="preserve">Version: </w:t>
    </w:r>
    <w:r w:rsidR="00D121E3">
      <w:t>February</w:t>
    </w:r>
    <w:r w:rsidR="00D634BD">
      <w:t xml:space="preserve"> </w:t>
    </w:r>
    <w:r>
      <w:t>202</w:t>
    </w:r>
    <w:r w:rsidR="006E4349">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1C1" w:rsidRDefault="009641C1" w:rsidP="00333B24">
      <w:pPr>
        <w:spacing w:after="0" w:line="240" w:lineRule="auto"/>
      </w:pPr>
      <w:r>
        <w:separator/>
      </w:r>
    </w:p>
  </w:footnote>
  <w:footnote w:type="continuationSeparator" w:id="0">
    <w:p w:rsidR="009641C1" w:rsidRDefault="009641C1" w:rsidP="00333B24">
      <w:pPr>
        <w:spacing w:after="0" w:line="240" w:lineRule="auto"/>
      </w:pPr>
      <w:r>
        <w:continuationSeparator/>
      </w:r>
    </w:p>
  </w:footnote>
  <w:footnote w:id="1">
    <w:p w:rsidR="001745DB" w:rsidRPr="00687D4A" w:rsidRDefault="001745DB" w:rsidP="001745DB">
      <w:pPr>
        <w:pStyle w:val="FootnoteText"/>
      </w:pPr>
      <w:r>
        <w:rPr>
          <w:rStyle w:val="FootnoteReference"/>
        </w:rPr>
        <w:footnoteRef/>
      </w:r>
      <w:r>
        <w:t xml:space="preserve"> Emergency powers are in place to deal with the pandemic, see: </w:t>
      </w:r>
      <w:r w:rsidRPr="00687D4A">
        <w:t>https://www.instituteforgovernment.org.uk/explainers/emergency-powers</w:t>
      </w:r>
    </w:p>
  </w:footnote>
  <w:footnote w:id="2">
    <w:p w:rsidR="00EE7016" w:rsidRDefault="00EE7016" w:rsidP="00BB2A1F">
      <w:pPr>
        <w:pStyle w:val="FootnoteText"/>
      </w:pPr>
      <w:r>
        <w:rPr>
          <w:rStyle w:val="FootnoteReference"/>
        </w:rPr>
        <w:footnoteRef/>
      </w:r>
      <w:r>
        <w:t xml:space="preserve"> These criteria will be judged through a phone call with potential jurors after </w:t>
      </w:r>
      <w:proofErr w:type="spellStart"/>
      <w:r>
        <w:t>shortlisting</w:t>
      </w:r>
      <w:proofErr w:type="spellEnd"/>
      <w:r>
        <w:t>.</w:t>
      </w:r>
    </w:p>
  </w:footnote>
  <w:footnote w:id="3">
    <w:p w:rsidR="00EE7016" w:rsidRDefault="00EE7016" w:rsidP="00237206">
      <w:pPr>
        <w:pStyle w:val="FootnoteText"/>
      </w:pPr>
      <w:r>
        <w:rPr>
          <w:rStyle w:val="FootnoteReference"/>
        </w:rPr>
        <w:footnoteRef/>
      </w:r>
      <w:r>
        <w:t xml:space="preserve"> This criterion will be judged through a phone call with potential jurors after </w:t>
      </w:r>
      <w:proofErr w:type="spellStart"/>
      <w:r>
        <w:t>shortlisting</w:t>
      </w:r>
      <w:proofErr w:type="spellEnd"/>
      <w:r>
        <w:t>.</w:t>
      </w:r>
    </w:p>
  </w:footnote>
  <w:footnote w:id="4">
    <w:p w:rsidR="00EE7016" w:rsidRDefault="00EE7016" w:rsidP="00344A68">
      <w:pPr>
        <w:pStyle w:val="FootnoteText"/>
      </w:pPr>
      <w:r>
        <w:rPr>
          <w:rStyle w:val="FootnoteReference"/>
        </w:rPr>
        <w:footnoteRef/>
      </w:r>
      <w:r>
        <w:t xml:space="preserve"> Target sample percentages based on 2011 UK Census Data for England from the Office for National Statistics</w:t>
      </w:r>
    </w:p>
  </w:footnote>
  <w:footnote w:id="5">
    <w:p w:rsidR="00EE7016" w:rsidRDefault="00EE7016">
      <w:pPr>
        <w:pStyle w:val="FootnoteText"/>
      </w:pPr>
      <w:r>
        <w:rPr>
          <w:rStyle w:val="FootnoteReference"/>
        </w:rPr>
        <w:footnoteRef/>
      </w:r>
      <w:r>
        <w:t xml:space="preserve"> Target sample percentages based on 2011 UK Census Data for England from the Office for National Statistics</w:t>
      </w:r>
    </w:p>
  </w:footnote>
  <w:footnote w:id="6">
    <w:p w:rsidR="00EE7016" w:rsidRDefault="00EE7016" w:rsidP="00344A68">
      <w:pPr>
        <w:pStyle w:val="FootnoteText"/>
      </w:pPr>
      <w:r>
        <w:rPr>
          <w:rStyle w:val="FootnoteReference"/>
        </w:rPr>
        <w:footnoteRef/>
      </w:r>
      <w:r>
        <w:t xml:space="preserve"> Target sample percentages based on 2011 UK Census Data for England from the Office for National Statistics</w:t>
      </w:r>
    </w:p>
  </w:footnote>
  <w:footnote w:id="7">
    <w:p w:rsidR="00EE7016" w:rsidRDefault="00EE7016" w:rsidP="00344A68">
      <w:pPr>
        <w:pStyle w:val="FootnoteText"/>
      </w:pPr>
      <w:r>
        <w:rPr>
          <w:rStyle w:val="FootnoteReference"/>
        </w:rPr>
        <w:footnoteRef/>
      </w:r>
      <w:r>
        <w:t xml:space="preserve"> Target sample percentages based on 2011 UK Census Data for England from the Office for National Statistics</w:t>
      </w:r>
    </w:p>
  </w:footnote>
  <w:footnote w:id="8">
    <w:p w:rsidR="00EE7016" w:rsidRDefault="00EE7016">
      <w:pPr>
        <w:pStyle w:val="FootnoteText"/>
      </w:pPr>
      <w:r>
        <w:rPr>
          <w:rStyle w:val="FootnoteReference"/>
        </w:rPr>
        <w:footnoteRef/>
      </w:r>
      <w:r>
        <w:t xml:space="preserve"> Target sample percentages based on UK employment rate, September 2017 </w:t>
      </w:r>
      <w:hyperlink r:id="rId1" w:history="1">
        <w:r w:rsidRPr="00862722">
          <w:rPr>
            <w:rStyle w:val="Hyperlink"/>
          </w:rPr>
          <w:t>https://www.ons.gov.uk/employmentandlabourmarket/peopleinwork/employmentandemployeetypes</w:t>
        </w:r>
      </w:hyperlink>
      <w:r>
        <w:t xml:space="preserve"> </w:t>
      </w:r>
    </w:p>
  </w:footnote>
  <w:footnote w:id="9">
    <w:p w:rsidR="00EE7016" w:rsidRDefault="00EE7016" w:rsidP="005078BD">
      <w:pPr>
        <w:pStyle w:val="FootnoteText"/>
      </w:pPr>
      <w:r>
        <w:rPr>
          <w:rStyle w:val="FootnoteReference"/>
        </w:rPr>
        <w:footnoteRef/>
      </w:r>
      <w:r>
        <w:t xml:space="preserve"> Target sample percentages based on TG30 (Column C) of online survey of a representative sample of 2114 GB adults aged over 16 commissioned by National Data Guardian’s Office and carried out by Kantar in August 2020. It is available from Jenny </w:t>
      </w:r>
      <w:proofErr w:type="spellStart"/>
      <w:r>
        <w:t>Westaway</w:t>
      </w:r>
      <w:proofErr w:type="spellEnd"/>
      <w:r>
        <w:t xml:space="preserve"> and publicised at </w:t>
      </w:r>
      <w:hyperlink r:id="rId2" w:history="1">
        <w:r w:rsidRPr="0073739C">
          <w:rPr>
            <w:rStyle w:val="Hyperlink"/>
          </w:rPr>
          <w:t>https://www.gov.uk/government/news/polling-indicates-growing-public-understanding-about-importance-of-using-health-and-care-data</w:t>
        </w:r>
      </w:hyperlink>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016" w:rsidRDefault="002168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840126" o:spid="_x0000_s2050" type="#_x0000_t136" style="position:absolute;margin-left:0;margin-top:0;width:381.75pt;height:25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016" w:rsidRDefault="002168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840125" o:spid="_x0000_s2049" type="#_x0000_t136" style="position:absolute;margin-left:0;margin-top:0;width:381.75pt;height:25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4614"/>
    <w:multiLevelType w:val="hybridMultilevel"/>
    <w:tmpl w:val="C6C6373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8C0427"/>
    <w:multiLevelType w:val="hybridMultilevel"/>
    <w:tmpl w:val="DA825BA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0CA951E2"/>
    <w:multiLevelType w:val="hybridMultilevel"/>
    <w:tmpl w:val="C96842D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0F2C3C98"/>
    <w:multiLevelType w:val="hybridMultilevel"/>
    <w:tmpl w:val="B7245C62"/>
    <w:lvl w:ilvl="0" w:tplc="08090017">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FE44402"/>
    <w:multiLevelType w:val="hybridMultilevel"/>
    <w:tmpl w:val="E40417A8"/>
    <w:lvl w:ilvl="0" w:tplc="08090013">
      <w:start w:val="1"/>
      <w:numFmt w:val="upperRoman"/>
      <w:lvlText w:val="%1."/>
      <w:lvlJc w:val="right"/>
      <w:pPr>
        <w:ind w:left="720" w:hanging="360"/>
      </w:pPr>
      <w:rPr>
        <w:rFonts w:hint="default"/>
      </w:rPr>
    </w:lvl>
    <w:lvl w:ilvl="1" w:tplc="08090019">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1757EA"/>
    <w:multiLevelType w:val="hybridMultilevel"/>
    <w:tmpl w:val="C96842D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11E8193A"/>
    <w:multiLevelType w:val="hybridMultilevel"/>
    <w:tmpl w:val="05C47F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24503E5"/>
    <w:multiLevelType w:val="hybridMultilevel"/>
    <w:tmpl w:val="F2C41486"/>
    <w:lvl w:ilvl="0" w:tplc="08090017">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4466592"/>
    <w:multiLevelType w:val="hybridMultilevel"/>
    <w:tmpl w:val="87680A2C"/>
    <w:lvl w:ilvl="0" w:tplc="981CE44A">
      <w:start w:val="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0B8658B"/>
    <w:multiLevelType w:val="hybridMultilevel"/>
    <w:tmpl w:val="3F1201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2A4192A"/>
    <w:multiLevelType w:val="hybridMultilevel"/>
    <w:tmpl w:val="C96842D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25B54C0C"/>
    <w:multiLevelType w:val="hybridMultilevel"/>
    <w:tmpl w:val="0DD28062"/>
    <w:lvl w:ilvl="0" w:tplc="7C5E9E80">
      <w:start w:val="2"/>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25CA6BE7"/>
    <w:multiLevelType w:val="hybridMultilevel"/>
    <w:tmpl w:val="78CA63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7BC7E5D"/>
    <w:multiLevelType w:val="hybridMultilevel"/>
    <w:tmpl w:val="9BB28E5E"/>
    <w:lvl w:ilvl="0" w:tplc="C22A4D30">
      <w:numFmt w:val="bullet"/>
      <w:lvlText w:val="-"/>
      <w:lvlJc w:val="left"/>
      <w:pPr>
        <w:ind w:left="720" w:hanging="360"/>
      </w:pPr>
      <w:rPr>
        <w:rFonts w:ascii="Calibri" w:eastAsia="Calibri" w:hAnsi="Calibri" w:cs="Calibri"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nsid w:val="2B3C5185"/>
    <w:multiLevelType w:val="hybridMultilevel"/>
    <w:tmpl w:val="210E9E3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2B562E3B"/>
    <w:multiLevelType w:val="hybridMultilevel"/>
    <w:tmpl w:val="3F1201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C44759E"/>
    <w:multiLevelType w:val="hybridMultilevel"/>
    <w:tmpl w:val="80081F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CD0536B"/>
    <w:multiLevelType w:val="hybridMultilevel"/>
    <w:tmpl w:val="08980F7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EBC25CF"/>
    <w:multiLevelType w:val="hybridMultilevel"/>
    <w:tmpl w:val="7D7800E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2ED30257"/>
    <w:multiLevelType w:val="hybridMultilevel"/>
    <w:tmpl w:val="14E4C1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1AE0A7F"/>
    <w:multiLevelType w:val="hybridMultilevel"/>
    <w:tmpl w:val="14E4C1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2B34C4B"/>
    <w:multiLevelType w:val="hybridMultilevel"/>
    <w:tmpl w:val="1A768F7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330E5D6F"/>
    <w:multiLevelType w:val="hybridMultilevel"/>
    <w:tmpl w:val="817C117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nsid w:val="362B5323"/>
    <w:multiLevelType w:val="hybridMultilevel"/>
    <w:tmpl w:val="1FD2FE8C"/>
    <w:lvl w:ilvl="0" w:tplc="7CA417EC">
      <w:start w:val="1"/>
      <w:numFmt w:val="lowerLetter"/>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24">
    <w:nsid w:val="3C7D42C3"/>
    <w:multiLevelType w:val="hybridMultilevel"/>
    <w:tmpl w:val="F426EB62"/>
    <w:lvl w:ilvl="0" w:tplc="08090017">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CE83E2A"/>
    <w:multiLevelType w:val="hybridMultilevel"/>
    <w:tmpl w:val="0B1A6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E285711"/>
    <w:multiLevelType w:val="hybridMultilevel"/>
    <w:tmpl w:val="9B8278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16874BA"/>
    <w:multiLevelType w:val="hybridMultilevel"/>
    <w:tmpl w:val="78CA63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286424A"/>
    <w:multiLevelType w:val="hybridMultilevel"/>
    <w:tmpl w:val="3F805CAE"/>
    <w:lvl w:ilvl="0" w:tplc="2E7CC670">
      <w:start w:val="201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5BC0DED"/>
    <w:multiLevelType w:val="hybridMultilevel"/>
    <w:tmpl w:val="E7100D7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nsid w:val="462A6EF3"/>
    <w:multiLevelType w:val="hybridMultilevel"/>
    <w:tmpl w:val="C96842D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nsid w:val="49E33F8C"/>
    <w:multiLevelType w:val="hybridMultilevel"/>
    <w:tmpl w:val="6AF6C306"/>
    <w:lvl w:ilvl="0" w:tplc="08090017">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B8857EC"/>
    <w:multiLevelType w:val="hybridMultilevel"/>
    <w:tmpl w:val="753E3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D254924"/>
    <w:multiLevelType w:val="hybridMultilevel"/>
    <w:tmpl w:val="3F1201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4E9D1C5B"/>
    <w:multiLevelType w:val="hybridMultilevel"/>
    <w:tmpl w:val="5E22B174"/>
    <w:lvl w:ilvl="0" w:tplc="8A008590">
      <w:start w:val="1"/>
      <w:numFmt w:val="decimal"/>
      <w:lvlText w:val="%1."/>
      <w:lvlJc w:val="left"/>
      <w:pPr>
        <w:ind w:left="720" w:hanging="360"/>
      </w:pPr>
      <w:rPr>
        <w:rFonts w:hint="default"/>
      </w:rPr>
    </w:lvl>
    <w:lvl w:ilvl="1" w:tplc="08090003">
      <w:start w:val="1"/>
      <w:numFmt w:val="bullet"/>
      <w:lvlText w:val="o"/>
      <w:lvlJc w:val="left"/>
      <w:pPr>
        <w:ind w:left="1069"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FAF3CE8"/>
    <w:multiLevelType w:val="hybridMultilevel"/>
    <w:tmpl w:val="B2B41854"/>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4FD4407A"/>
    <w:multiLevelType w:val="hybridMultilevel"/>
    <w:tmpl w:val="ECCCFA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4EC1B8E"/>
    <w:multiLevelType w:val="hybridMultilevel"/>
    <w:tmpl w:val="78CA63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57676549"/>
    <w:multiLevelType w:val="hybridMultilevel"/>
    <w:tmpl w:val="F73C77F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5C491725"/>
    <w:multiLevelType w:val="hybridMultilevel"/>
    <w:tmpl w:val="4396594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nsid w:val="6CC87AAD"/>
    <w:multiLevelType w:val="hybridMultilevel"/>
    <w:tmpl w:val="9B8278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E517AB6"/>
    <w:multiLevelType w:val="hybridMultilevel"/>
    <w:tmpl w:val="6AF6C306"/>
    <w:lvl w:ilvl="0" w:tplc="08090017">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F3C0F10"/>
    <w:multiLevelType w:val="hybridMultilevel"/>
    <w:tmpl w:val="B5BEC440"/>
    <w:lvl w:ilvl="0" w:tplc="08090019">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nsid w:val="73723295"/>
    <w:multiLevelType w:val="hybridMultilevel"/>
    <w:tmpl w:val="5580745C"/>
    <w:lvl w:ilvl="0" w:tplc="7C5E9E80">
      <w:start w:val="2"/>
      <w:numFmt w:val="lowerLetter"/>
      <w:lvlText w:val="%1)"/>
      <w:lvlJc w:val="left"/>
      <w:pPr>
        <w:ind w:left="1080" w:hanging="360"/>
      </w:pPr>
      <w:rPr>
        <w:rFonts w:hint="default"/>
      </w:rPr>
    </w:lvl>
    <w:lvl w:ilvl="1" w:tplc="392A61E4">
      <w:start w:val="1"/>
      <w:numFmt w:val="lowerLetter"/>
      <w:lvlText w:val="%2)"/>
      <w:lvlJc w:val="left"/>
      <w:pPr>
        <w:ind w:left="1800" w:hanging="360"/>
      </w:pPr>
      <w:rPr>
        <w:rFonts w:ascii="Calibri" w:hAnsi="Calibri" w:cs="Times New Roman" w:hint="default"/>
        <w:sz w:val="24"/>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nsid w:val="74965E78"/>
    <w:multiLevelType w:val="hybridMultilevel"/>
    <w:tmpl w:val="E40417A8"/>
    <w:lvl w:ilvl="0" w:tplc="08090013">
      <w:start w:val="1"/>
      <w:numFmt w:val="upperRoman"/>
      <w:lvlText w:val="%1."/>
      <w:lvlJc w:val="right"/>
      <w:pPr>
        <w:ind w:left="720" w:hanging="360"/>
      </w:pPr>
      <w:rPr>
        <w:rFonts w:hint="default"/>
      </w:rPr>
    </w:lvl>
    <w:lvl w:ilvl="1" w:tplc="08090019">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6A144DA"/>
    <w:multiLevelType w:val="hybridMultilevel"/>
    <w:tmpl w:val="ED9C28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A793C66"/>
    <w:multiLevelType w:val="hybridMultilevel"/>
    <w:tmpl w:val="6AF6C306"/>
    <w:lvl w:ilvl="0" w:tplc="08090017">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D8E75CC"/>
    <w:multiLevelType w:val="hybridMultilevel"/>
    <w:tmpl w:val="16CCFCE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2"/>
  </w:num>
  <w:num w:numId="3">
    <w:abstractNumId w:val="38"/>
  </w:num>
  <w:num w:numId="4">
    <w:abstractNumId w:val="17"/>
  </w:num>
  <w:num w:numId="5">
    <w:abstractNumId w:val="21"/>
  </w:num>
  <w:num w:numId="6">
    <w:abstractNumId w:val="40"/>
  </w:num>
  <w:num w:numId="7">
    <w:abstractNumId w:val="3"/>
  </w:num>
  <w:num w:numId="8">
    <w:abstractNumId w:val="31"/>
  </w:num>
  <w:num w:numId="9">
    <w:abstractNumId w:val="24"/>
  </w:num>
  <w:num w:numId="10">
    <w:abstractNumId w:val="46"/>
  </w:num>
  <w:num w:numId="11">
    <w:abstractNumId w:val="7"/>
  </w:num>
  <w:num w:numId="12">
    <w:abstractNumId w:val="41"/>
  </w:num>
  <w:num w:numId="13">
    <w:abstractNumId w:val="12"/>
  </w:num>
  <w:num w:numId="14">
    <w:abstractNumId w:val="27"/>
  </w:num>
  <w:num w:numId="15">
    <w:abstractNumId w:val="37"/>
  </w:num>
  <w:num w:numId="16">
    <w:abstractNumId w:val="23"/>
  </w:num>
  <w:num w:numId="17">
    <w:abstractNumId w:val="33"/>
  </w:num>
  <w:num w:numId="18">
    <w:abstractNumId w:val="9"/>
  </w:num>
  <w:num w:numId="19">
    <w:abstractNumId w:val="15"/>
  </w:num>
  <w:num w:numId="20">
    <w:abstractNumId w:val="20"/>
  </w:num>
  <w:num w:numId="21">
    <w:abstractNumId w:val="19"/>
  </w:num>
  <w:num w:numId="22">
    <w:abstractNumId w:val="36"/>
  </w:num>
  <w:num w:numId="23">
    <w:abstractNumId w:val="16"/>
  </w:num>
  <w:num w:numId="24">
    <w:abstractNumId w:val="4"/>
  </w:num>
  <w:num w:numId="25">
    <w:abstractNumId w:val="28"/>
  </w:num>
  <w:num w:numId="26">
    <w:abstractNumId w:val="32"/>
  </w:num>
  <w:num w:numId="27">
    <w:abstractNumId w:val="35"/>
  </w:num>
  <w:num w:numId="28">
    <w:abstractNumId w:val="14"/>
  </w:num>
  <w:num w:numId="29">
    <w:abstractNumId w:val="5"/>
  </w:num>
  <w:num w:numId="30">
    <w:abstractNumId w:val="30"/>
  </w:num>
  <w:num w:numId="31">
    <w:abstractNumId w:val="10"/>
  </w:num>
  <w:num w:numId="32">
    <w:abstractNumId w:val="2"/>
  </w:num>
  <w:num w:numId="33">
    <w:abstractNumId w:val="44"/>
  </w:num>
  <w:num w:numId="34">
    <w:abstractNumId w:val="1"/>
  </w:num>
  <w:num w:numId="35">
    <w:abstractNumId w:val="29"/>
  </w:num>
  <w:num w:numId="36">
    <w:abstractNumId w:val="22"/>
  </w:num>
  <w:num w:numId="37">
    <w:abstractNumId w:val="39"/>
  </w:num>
  <w:num w:numId="38">
    <w:abstractNumId w:val="18"/>
  </w:num>
  <w:num w:numId="39">
    <w:abstractNumId w:val="8"/>
  </w:num>
  <w:num w:numId="40">
    <w:abstractNumId w:val="25"/>
  </w:num>
  <w:num w:numId="41">
    <w:abstractNumId w:val="26"/>
  </w:num>
  <w:num w:numId="42">
    <w:abstractNumId w:val="34"/>
  </w:num>
  <w:num w:numId="43">
    <w:abstractNumId w:val="47"/>
  </w:num>
  <w:num w:numId="44">
    <w:abstractNumId w:val="11"/>
  </w:num>
  <w:num w:numId="45">
    <w:abstractNumId w:val="43"/>
  </w:num>
  <w:num w:numId="46">
    <w:abstractNumId w:val="45"/>
  </w:num>
  <w:num w:numId="4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 Carvel">
    <w15:presenceInfo w15:providerId="Windows Live" w15:userId="efdbae68420f708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Formatting/>
  <w:defaultTabStop w:val="720"/>
  <w:characterSpacingControl w:val="doNotCompress"/>
  <w:hdrShapeDefaults>
    <o:shapedefaults v:ext="edit" spidmax="24578"/>
    <o:shapelayout v:ext="edit">
      <o:idmap v:ext="edit" data="2"/>
    </o:shapelayout>
  </w:hdrShapeDefault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0tTA0NzE1NDa2NDMxMTVX0lEKTi0uzszPAykwrAUAJKlfdCwAAAA="/>
    <w:docVar w:name="dgnword-docGUID" w:val="{AAB044F1-4CCF-4BD2-8EEC-57EAB0B67D62}"/>
    <w:docVar w:name="dgnword-eventsink" w:val="208085352"/>
  </w:docVars>
  <w:rsids>
    <w:rsidRoot w:val="00490190"/>
    <w:rsid w:val="00004CF1"/>
    <w:rsid w:val="00005220"/>
    <w:rsid w:val="0001025F"/>
    <w:rsid w:val="0001420C"/>
    <w:rsid w:val="00014420"/>
    <w:rsid w:val="00022791"/>
    <w:rsid w:val="00025C07"/>
    <w:rsid w:val="0002627D"/>
    <w:rsid w:val="000318CB"/>
    <w:rsid w:val="000319E0"/>
    <w:rsid w:val="00032573"/>
    <w:rsid w:val="00053B6F"/>
    <w:rsid w:val="00054CB9"/>
    <w:rsid w:val="00054CDC"/>
    <w:rsid w:val="00055931"/>
    <w:rsid w:val="00057D65"/>
    <w:rsid w:val="00057E49"/>
    <w:rsid w:val="0006030B"/>
    <w:rsid w:val="00060320"/>
    <w:rsid w:val="00061095"/>
    <w:rsid w:val="00061BB3"/>
    <w:rsid w:val="000633F9"/>
    <w:rsid w:val="00064863"/>
    <w:rsid w:val="00066BF3"/>
    <w:rsid w:val="00067EF6"/>
    <w:rsid w:val="00070944"/>
    <w:rsid w:val="00082524"/>
    <w:rsid w:val="000838B2"/>
    <w:rsid w:val="00084E71"/>
    <w:rsid w:val="00085BA7"/>
    <w:rsid w:val="00085F46"/>
    <w:rsid w:val="00095370"/>
    <w:rsid w:val="000A0653"/>
    <w:rsid w:val="000A18EB"/>
    <w:rsid w:val="000A2AFD"/>
    <w:rsid w:val="000A780C"/>
    <w:rsid w:val="000A7F4A"/>
    <w:rsid w:val="000B163E"/>
    <w:rsid w:val="000B2435"/>
    <w:rsid w:val="000B2628"/>
    <w:rsid w:val="000B26B1"/>
    <w:rsid w:val="000B305A"/>
    <w:rsid w:val="000B32C6"/>
    <w:rsid w:val="000C0A3A"/>
    <w:rsid w:val="000C4197"/>
    <w:rsid w:val="000C53F0"/>
    <w:rsid w:val="000C6E85"/>
    <w:rsid w:val="000D222F"/>
    <w:rsid w:val="000D339A"/>
    <w:rsid w:val="000D4665"/>
    <w:rsid w:val="000D5B88"/>
    <w:rsid w:val="000D689D"/>
    <w:rsid w:val="000E098E"/>
    <w:rsid w:val="000E0F20"/>
    <w:rsid w:val="000E0F9B"/>
    <w:rsid w:val="000E2590"/>
    <w:rsid w:val="000E352B"/>
    <w:rsid w:val="000E596D"/>
    <w:rsid w:val="000E5C85"/>
    <w:rsid w:val="000E790F"/>
    <w:rsid w:val="000F08ED"/>
    <w:rsid w:val="000F0FDC"/>
    <w:rsid w:val="000F35E0"/>
    <w:rsid w:val="000F4376"/>
    <w:rsid w:val="000F69D3"/>
    <w:rsid w:val="001007DE"/>
    <w:rsid w:val="00103C34"/>
    <w:rsid w:val="00114498"/>
    <w:rsid w:val="00114C34"/>
    <w:rsid w:val="001153A3"/>
    <w:rsid w:val="00115FBF"/>
    <w:rsid w:val="001169C5"/>
    <w:rsid w:val="00116C0A"/>
    <w:rsid w:val="00121E18"/>
    <w:rsid w:val="001255E3"/>
    <w:rsid w:val="00125B2B"/>
    <w:rsid w:val="0013227D"/>
    <w:rsid w:val="001368CF"/>
    <w:rsid w:val="001373A2"/>
    <w:rsid w:val="00142662"/>
    <w:rsid w:val="00143CF6"/>
    <w:rsid w:val="001453BE"/>
    <w:rsid w:val="00145736"/>
    <w:rsid w:val="0015371E"/>
    <w:rsid w:val="00153FCA"/>
    <w:rsid w:val="00163852"/>
    <w:rsid w:val="00163883"/>
    <w:rsid w:val="00164B98"/>
    <w:rsid w:val="00170073"/>
    <w:rsid w:val="00170139"/>
    <w:rsid w:val="0017163D"/>
    <w:rsid w:val="001716AB"/>
    <w:rsid w:val="00171BFE"/>
    <w:rsid w:val="00172485"/>
    <w:rsid w:val="001745DB"/>
    <w:rsid w:val="0017475C"/>
    <w:rsid w:val="00177097"/>
    <w:rsid w:val="001826D8"/>
    <w:rsid w:val="00183545"/>
    <w:rsid w:val="00187772"/>
    <w:rsid w:val="00190932"/>
    <w:rsid w:val="00190DB3"/>
    <w:rsid w:val="00191BB7"/>
    <w:rsid w:val="001946DD"/>
    <w:rsid w:val="001A183E"/>
    <w:rsid w:val="001A1DE6"/>
    <w:rsid w:val="001A6896"/>
    <w:rsid w:val="001A7328"/>
    <w:rsid w:val="001A799F"/>
    <w:rsid w:val="001B25B8"/>
    <w:rsid w:val="001B41FF"/>
    <w:rsid w:val="001B5DEF"/>
    <w:rsid w:val="001B5FA0"/>
    <w:rsid w:val="001C3565"/>
    <w:rsid w:val="001C454F"/>
    <w:rsid w:val="001C4CD1"/>
    <w:rsid w:val="001C7610"/>
    <w:rsid w:val="001D09DA"/>
    <w:rsid w:val="001D1A3A"/>
    <w:rsid w:val="001E0F73"/>
    <w:rsid w:val="001E2482"/>
    <w:rsid w:val="001E264F"/>
    <w:rsid w:val="001E406D"/>
    <w:rsid w:val="001E4F7A"/>
    <w:rsid w:val="001E55B6"/>
    <w:rsid w:val="001F67C7"/>
    <w:rsid w:val="001F759D"/>
    <w:rsid w:val="00201B44"/>
    <w:rsid w:val="0020296D"/>
    <w:rsid w:val="00203DFB"/>
    <w:rsid w:val="002046A1"/>
    <w:rsid w:val="00206C78"/>
    <w:rsid w:val="00211088"/>
    <w:rsid w:val="002118CB"/>
    <w:rsid w:val="00215A25"/>
    <w:rsid w:val="002168B2"/>
    <w:rsid w:val="002169FB"/>
    <w:rsid w:val="002232DF"/>
    <w:rsid w:val="0022501E"/>
    <w:rsid w:val="00226E79"/>
    <w:rsid w:val="002273C7"/>
    <w:rsid w:val="00233A25"/>
    <w:rsid w:val="00236223"/>
    <w:rsid w:val="00237206"/>
    <w:rsid w:val="0023726D"/>
    <w:rsid w:val="002424C4"/>
    <w:rsid w:val="00243269"/>
    <w:rsid w:val="0024388C"/>
    <w:rsid w:val="00245992"/>
    <w:rsid w:val="0025292C"/>
    <w:rsid w:val="002529C5"/>
    <w:rsid w:val="002604DB"/>
    <w:rsid w:val="00270D85"/>
    <w:rsid w:val="00271621"/>
    <w:rsid w:val="00271907"/>
    <w:rsid w:val="00274021"/>
    <w:rsid w:val="00275CC9"/>
    <w:rsid w:val="0027693A"/>
    <w:rsid w:val="002779E5"/>
    <w:rsid w:val="0028002F"/>
    <w:rsid w:val="00280505"/>
    <w:rsid w:val="002818DF"/>
    <w:rsid w:val="00281A6C"/>
    <w:rsid w:val="00285B99"/>
    <w:rsid w:val="002868D3"/>
    <w:rsid w:val="00290E22"/>
    <w:rsid w:val="002951FD"/>
    <w:rsid w:val="002A003A"/>
    <w:rsid w:val="002A1595"/>
    <w:rsid w:val="002A1D02"/>
    <w:rsid w:val="002A2E01"/>
    <w:rsid w:val="002A59D9"/>
    <w:rsid w:val="002B0B9F"/>
    <w:rsid w:val="002B29C9"/>
    <w:rsid w:val="002C383B"/>
    <w:rsid w:val="002D40A8"/>
    <w:rsid w:val="002D4958"/>
    <w:rsid w:val="002E36B2"/>
    <w:rsid w:val="002F481F"/>
    <w:rsid w:val="00301A24"/>
    <w:rsid w:val="00304E94"/>
    <w:rsid w:val="003056FD"/>
    <w:rsid w:val="00305961"/>
    <w:rsid w:val="0030740E"/>
    <w:rsid w:val="00312DE7"/>
    <w:rsid w:val="003310D4"/>
    <w:rsid w:val="003322CA"/>
    <w:rsid w:val="003328C7"/>
    <w:rsid w:val="00333B24"/>
    <w:rsid w:val="00334ACF"/>
    <w:rsid w:val="003352FF"/>
    <w:rsid w:val="00335BA4"/>
    <w:rsid w:val="003373E3"/>
    <w:rsid w:val="00337B52"/>
    <w:rsid w:val="00340AC5"/>
    <w:rsid w:val="00340B79"/>
    <w:rsid w:val="00344A68"/>
    <w:rsid w:val="00344C7B"/>
    <w:rsid w:val="003453C0"/>
    <w:rsid w:val="00350FFE"/>
    <w:rsid w:val="0036111B"/>
    <w:rsid w:val="003611D9"/>
    <w:rsid w:val="0036753B"/>
    <w:rsid w:val="00371EA9"/>
    <w:rsid w:val="00383C60"/>
    <w:rsid w:val="003869C5"/>
    <w:rsid w:val="00393942"/>
    <w:rsid w:val="00393EE9"/>
    <w:rsid w:val="00394DD1"/>
    <w:rsid w:val="0039513D"/>
    <w:rsid w:val="003953BE"/>
    <w:rsid w:val="003957B5"/>
    <w:rsid w:val="00395815"/>
    <w:rsid w:val="00395E85"/>
    <w:rsid w:val="003A33B7"/>
    <w:rsid w:val="003A43F0"/>
    <w:rsid w:val="003A4CA6"/>
    <w:rsid w:val="003B065D"/>
    <w:rsid w:val="003B0BE9"/>
    <w:rsid w:val="003B5303"/>
    <w:rsid w:val="003C4236"/>
    <w:rsid w:val="003C55DC"/>
    <w:rsid w:val="003C6BCC"/>
    <w:rsid w:val="003D50C3"/>
    <w:rsid w:val="003D7BBE"/>
    <w:rsid w:val="003E16EB"/>
    <w:rsid w:val="003E2431"/>
    <w:rsid w:val="003F19D8"/>
    <w:rsid w:val="003F76C6"/>
    <w:rsid w:val="004020C5"/>
    <w:rsid w:val="004040F4"/>
    <w:rsid w:val="00405F72"/>
    <w:rsid w:val="00414A81"/>
    <w:rsid w:val="00415B04"/>
    <w:rsid w:val="0041700A"/>
    <w:rsid w:val="00421CBE"/>
    <w:rsid w:val="004221ED"/>
    <w:rsid w:val="00422602"/>
    <w:rsid w:val="00423F9B"/>
    <w:rsid w:val="004305A1"/>
    <w:rsid w:val="00437755"/>
    <w:rsid w:val="00440674"/>
    <w:rsid w:val="0044559D"/>
    <w:rsid w:val="00445D8A"/>
    <w:rsid w:val="00446439"/>
    <w:rsid w:val="004479B4"/>
    <w:rsid w:val="004501A5"/>
    <w:rsid w:val="00450AA7"/>
    <w:rsid w:val="004531E3"/>
    <w:rsid w:val="00456823"/>
    <w:rsid w:val="00460797"/>
    <w:rsid w:val="00460BB9"/>
    <w:rsid w:val="00462F67"/>
    <w:rsid w:val="00465748"/>
    <w:rsid w:val="00465999"/>
    <w:rsid w:val="004715B7"/>
    <w:rsid w:val="004725EA"/>
    <w:rsid w:val="004741E0"/>
    <w:rsid w:val="0047439E"/>
    <w:rsid w:val="00474562"/>
    <w:rsid w:val="0047786E"/>
    <w:rsid w:val="00477D9A"/>
    <w:rsid w:val="004848B3"/>
    <w:rsid w:val="00485FA9"/>
    <w:rsid w:val="004866FD"/>
    <w:rsid w:val="00486DE6"/>
    <w:rsid w:val="00487EF1"/>
    <w:rsid w:val="00490190"/>
    <w:rsid w:val="00490DB0"/>
    <w:rsid w:val="00491456"/>
    <w:rsid w:val="00492307"/>
    <w:rsid w:val="004947D5"/>
    <w:rsid w:val="004953D1"/>
    <w:rsid w:val="004967F0"/>
    <w:rsid w:val="004A1F5E"/>
    <w:rsid w:val="004A2CAE"/>
    <w:rsid w:val="004A334A"/>
    <w:rsid w:val="004A3EB9"/>
    <w:rsid w:val="004A5692"/>
    <w:rsid w:val="004A72FB"/>
    <w:rsid w:val="004A7FEC"/>
    <w:rsid w:val="004B0DF9"/>
    <w:rsid w:val="004B24E3"/>
    <w:rsid w:val="004B3470"/>
    <w:rsid w:val="004C0B59"/>
    <w:rsid w:val="004C1839"/>
    <w:rsid w:val="004C4A47"/>
    <w:rsid w:val="004C5049"/>
    <w:rsid w:val="004C5076"/>
    <w:rsid w:val="004D21EC"/>
    <w:rsid w:val="004D3A36"/>
    <w:rsid w:val="004E0A68"/>
    <w:rsid w:val="004E3A0E"/>
    <w:rsid w:val="004E3BA7"/>
    <w:rsid w:val="004E3E02"/>
    <w:rsid w:val="004E5B8C"/>
    <w:rsid w:val="004E6374"/>
    <w:rsid w:val="004E6D83"/>
    <w:rsid w:val="004F0CE0"/>
    <w:rsid w:val="004F2AB8"/>
    <w:rsid w:val="004F3298"/>
    <w:rsid w:val="004F3CF5"/>
    <w:rsid w:val="004F4F0A"/>
    <w:rsid w:val="004F60AD"/>
    <w:rsid w:val="004F6BC2"/>
    <w:rsid w:val="005078BD"/>
    <w:rsid w:val="00507B65"/>
    <w:rsid w:val="0051512B"/>
    <w:rsid w:val="00515ECC"/>
    <w:rsid w:val="00520CFD"/>
    <w:rsid w:val="00525B06"/>
    <w:rsid w:val="00527C9E"/>
    <w:rsid w:val="00534B4D"/>
    <w:rsid w:val="0053527C"/>
    <w:rsid w:val="0053599F"/>
    <w:rsid w:val="00546ABA"/>
    <w:rsid w:val="00546DF1"/>
    <w:rsid w:val="00551C7A"/>
    <w:rsid w:val="0055458D"/>
    <w:rsid w:val="00554A09"/>
    <w:rsid w:val="0055565E"/>
    <w:rsid w:val="00562A2C"/>
    <w:rsid w:val="00564BEA"/>
    <w:rsid w:val="00574699"/>
    <w:rsid w:val="00574BA8"/>
    <w:rsid w:val="00575A11"/>
    <w:rsid w:val="00577295"/>
    <w:rsid w:val="00581FB5"/>
    <w:rsid w:val="00582087"/>
    <w:rsid w:val="00582BB0"/>
    <w:rsid w:val="00583828"/>
    <w:rsid w:val="005926C5"/>
    <w:rsid w:val="0059479A"/>
    <w:rsid w:val="00596FD2"/>
    <w:rsid w:val="005A0D9D"/>
    <w:rsid w:val="005A26F4"/>
    <w:rsid w:val="005A52D9"/>
    <w:rsid w:val="005B0C1F"/>
    <w:rsid w:val="005B3374"/>
    <w:rsid w:val="005B485D"/>
    <w:rsid w:val="005B533D"/>
    <w:rsid w:val="005B5E6F"/>
    <w:rsid w:val="005C24A0"/>
    <w:rsid w:val="005C3503"/>
    <w:rsid w:val="005D1207"/>
    <w:rsid w:val="005D1DCE"/>
    <w:rsid w:val="005D37A4"/>
    <w:rsid w:val="005D539B"/>
    <w:rsid w:val="005D73CD"/>
    <w:rsid w:val="005E03C8"/>
    <w:rsid w:val="005E0585"/>
    <w:rsid w:val="005E4B47"/>
    <w:rsid w:val="005E5BD0"/>
    <w:rsid w:val="005E6806"/>
    <w:rsid w:val="005E77B7"/>
    <w:rsid w:val="005F381F"/>
    <w:rsid w:val="00601DAA"/>
    <w:rsid w:val="00603AAD"/>
    <w:rsid w:val="006057ED"/>
    <w:rsid w:val="006067CE"/>
    <w:rsid w:val="006110EF"/>
    <w:rsid w:val="006145F6"/>
    <w:rsid w:val="00617DB1"/>
    <w:rsid w:val="006212FA"/>
    <w:rsid w:val="0062337D"/>
    <w:rsid w:val="00624710"/>
    <w:rsid w:val="00625437"/>
    <w:rsid w:val="00630E50"/>
    <w:rsid w:val="00634CDE"/>
    <w:rsid w:val="00640923"/>
    <w:rsid w:val="0064147C"/>
    <w:rsid w:val="00645D43"/>
    <w:rsid w:val="00646382"/>
    <w:rsid w:val="0064776E"/>
    <w:rsid w:val="006512D4"/>
    <w:rsid w:val="006601C6"/>
    <w:rsid w:val="006602AA"/>
    <w:rsid w:val="00660E24"/>
    <w:rsid w:val="0066641B"/>
    <w:rsid w:val="00667F13"/>
    <w:rsid w:val="00671F5F"/>
    <w:rsid w:val="006726B5"/>
    <w:rsid w:val="00673061"/>
    <w:rsid w:val="00673313"/>
    <w:rsid w:val="006747C9"/>
    <w:rsid w:val="0067490F"/>
    <w:rsid w:val="00675B05"/>
    <w:rsid w:val="00677A11"/>
    <w:rsid w:val="0068468A"/>
    <w:rsid w:val="00684F8C"/>
    <w:rsid w:val="00685944"/>
    <w:rsid w:val="00686E01"/>
    <w:rsid w:val="0069529A"/>
    <w:rsid w:val="006971B3"/>
    <w:rsid w:val="00697C96"/>
    <w:rsid w:val="006B007A"/>
    <w:rsid w:val="006B0878"/>
    <w:rsid w:val="006B2942"/>
    <w:rsid w:val="006B3663"/>
    <w:rsid w:val="006B457B"/>
    <w:rsid w:val="006B5325"/>
    <w:rsid w:val="006B6180"/>
    <w:rsid w:val="006B67F7"/>
    <w:rsid w:val="006C5FFB"/>
    <w:rsid w:val="006C62FD"/>
    <w:rsid w:val="006C648A"/>
    <w:rsid w:val="006C651B"/>
    <w:rsid w:val="006D1487"/>
    <w:rsid w:val="006D2309"/>
    <w:rsid w:val="006D26F1"/>
    <w:rsid w:val="006D3BE8"/>
    <w:rsid w:val="006E3396"/>
    <w:rsid w:val="006E4349"/>
    <w:rsid w:val="006E7181"/>
    <w:rsid w:val="006E79BC"/>
    <w:rsid w:val="006F0059"/>
    <w:rsid w:val="006F1561"/>
    <w:rsid w:val="006F47EE"/>
    <w:rsid w:val="006F4F32"/>
    <w:rsid w:val="006F5F56"/>
    <w:rsid w:val="006F78EC"/>
    <w:rsid w:val="007049E5"/>
    <w:rsid w:val="00712564"/>
    <w:rsid w:val="007148A9"/>
    <w:rsid w:val="007160DF"/>
    <w:rsid w:val="0071614F"/>
    <w:rsid w:val="00720B4A"/>
    <w:rsid w:val="0072265D"/>
    <w:rsid w:val="00727451"/>
    <w:rsid w:val="0074117D"/>
    <w:rsid w:val="0074139A"/>
    <w:rsid w:val="00744AF6"/>
    <w:rsid w:val="007475C4"/>
    <w:rsid w:val="007508F2"/>
    <w:rsid w:val="007547B3"/>
    <w:rsid w:val="00754EC7"/>
    <w:rsid w:val="00762061"/>
    <w:rsid w:val="0076372A"/>
    <w:rsid w:val="00771C44"/>
    <w:rsid w:val="00772A2C"/>
    <w:rsid w:val="0077589F"/>
    <w:rsid w:val="00780FB7"/>
    <w:rsid w:val="00781B5F"/>
    <w:rsid w:val="0078280E"/>
    <w:rsid w:val="0078345B"/>
    <w:rsid w:val="0078744B"/>
    <w:rsid w:val="00790785"/>
    <w:rsid w:val="00790FAC"/>
    <w:rsid w:val="00795C8A"/>
    <w:rsid w:val="00797277"/>
    <w:rsid w:val="007A5303"/>
    <w:rsid w:val="007A5304"/>
    <w:rsid w:val="007A6D4F"/>
    <w:rsid w:val="007B1C81"/>
    <w:rsid w:val="007B2D8E"/>
    <w:rsid w:val="007C2156"/>
    <w:rsid w:val="007C233E"/>
    <w:rsid w:val="007C299B"/>
    <w:rsid w:val="007C72DE"/>
    <w:rsid w:val="007C75E7"/>
    <w:rsid w:val="007D1F6E"/>
    <w:rsid w:val="007D3929"/>
    <w:rsid w:val="007D6AF9"/>
    <w:rsid w:val="007D771F"/>
    <w:rsid w:val="007E381A"/>
    <w:rsid w:val="007E4558"/>
    <w:rsid w:val="007E5360"/>
    <w:rsid w:val="007E649C"/>
    <w:rsid w:val="007E662A"/>
    <w:rsid w:val="007F1E5A"/>
    <w:rsid w:val="007F3C6B"/>
    <w:rsid w:val="007F6D41"/>
    <w:rsid w:val="0080000A"/>
    <w:rsid w:val="0080414F"/>
    <w:rsid w:val="00806D2E"/>
    <w:rsid w:val="00807AF3"/>
    <w:rsid w:val="00812BA6"/>
    <w:rsid w:val="0082147F"/>
    <w:rsid w:val="008367E7"/>
    <w:rsid w:val="008373AD"/>
    <w:rsid w:val="00842F3F"/>
    <w:rsid w:val="00843459"/>
    <w:rsid w:val="00844AE4"/>
    <w:rsid w:val="00845AFE"/>
    <w:rsid w:val="008509B7"/>
    <w:rsid w:val="0085246B"/>
    <w:rsid w:val="00854FDC"/>
    <w:rsid w:val="00855A3F"/>
    <w:rsid w:val="00855D50"/>
    <w:rsid w:val="00857B97"/>
    <w:rsid w:val="00861080"/>
    <w:rsid w:val="008614C4"/>
    <w:rsid w:val="00867543"/>
    <w:rsid w:val="00872DA8"/>
    <w:rsid w:val="00873944"/>
    <w:rsid w:val="00874BD9"/>
    <w:rsid w:val="00875EAE"/>
    <w:rsid w:val="00882A13"/>
    <w:rsid w:val="00883A56"/>
    <w:rsid w:val="00890AF6"/>
    <w:rsid w:val="00891058"/>
    <w:rsid w:val="008A2B50"/>
    <w:rsid w:val="008A5B5D"/>
    <w:rsid w:val="008B0987"/>
    <w:rsid w:val="008B6373"/>
    <w:rsid w:val="008C1448"/>
    <w:rsid w:val="008C3B60"/>
    <w:rsid w:val="008C46C4"/>
    <w:rsid w:val="008D29BC"/>
    <w:rsid w:val="008D3444"/>
    <w:rsid w:val="008D388C"/>
    <w:rsid w:val="008D47E9"/>
    <w:rsid w:val="008E0A3B"/>
    <w:rsid w:val="008E19AF"/>
    <w:rsid w:val="008E2D54"/>
    <w:rsid w:val="008E7777"/>
    <w:rsid w:val="008F5C1E"/>
    <w:rsid w:val="008F775A"/>
    <w:rsid w:val="00902B96"/>
    <w:rsid w:val="00913B83"/>
    <w:rsid w:val="009141C3"/>
    <w:rsid w:val="009206ED"/>
    <w:rsid w:val="00930205"/>
    <w:rsid w:val="00931659"/>
    <w:rsid w:val="00931B01"/>
    <w:rsid w:val="00936F87"/>
    <w:rsid w:val="00943769"/>
    <w:rsid w:val="009451D9"/>
    <w:rsid w:val="00945FEF"/>
    <w:rsid w:val="009512C4"/>
    <w:rsid w:val="00954D6A"/>
    <w:rsid w:val="00955BDA"/>
    <w:rsid w:val="00955E83"/>
    <w:rsid w:val="00956215"/>
    <w:rsid w:val="00957655"/>
    <w:rsid w:val="00962C90"/>
    <w:rsid w:val="00963A5F"/>
    <w:rsid w:val="00963EEB"/>
    <w:rsid w:val="009641C1"/>
    <w:rsid w:val="0096510B"/>
    <w:rsid w:val="00966270"/>
    <w:rsid w:val="00966F22"/>
    <w:rsid w:val="009709E2"/>
    <w:rsid w:val="0097303F"/>
    <w:rsid w:val="00975E61"/>
    <w:rsid w:val="009779BF"/>
    <w:rsid w:val="00984AB0"/>
    <w:rsid w:val="00991A7D"/>
    <w:rsid w:val="009933B1"/>
    <w:rsid w:val="00995FEC"/>
    <w:rsid w:val="00996A7A"/>
    <w:rsid w:val="009A2A1D"/>
    <w:rsid w:val="009B068C"/>
    <w:rsid w:val="009B45CD"/>
    <w:rsid w:val="009B4CFD"/>
    <w:rsid w:val="009C6079"/>
    <w:rsid w:val="009D1E8D"/>
    <w:rsid w:val="009D2636"/>
    <w:rsid w:val="009D472A"/>
    <w:rsid w:val="009D5BBB"/>
    <w:rsid w:val="009E1A5F"/>
    <w:rsid w:val="009E40D9"/>
    <w:rsid w:val="009E56B1"/>
    <w:rsid w:val="009E5CE7"/>
    <w:rsid w:val="009E7C88"/>
    <w:rsid w:val="009F0A01"/>
    <w:rsid w:val="009F1AAD"/>
    <w:rsid w:val="009F3951"/>
    <w:rsid w:val="009F3D55"/>
    <w:rsid w:val="009F4D65"/>
    <w:rsid w:val="009F5154"/>
    <w:rsid w:val="009F6A7A"/>
    <w:rsid w:val="00A0103A"/>
    <w:rsid w:val="00A0680F"/>
    <w:rsid w:val="00A130C0"/>
    <w:rsid w:val="00A13A5E"/>
    <w:rsid w:val="00A14B3C"/>
    <w:rsid w:val="00A15F8B"/>
    <w:rsid w:val="00A23F72"/>
    <w:rsid w:val="00A3030C"/>
    <w:rsid w:val="00A30542"/>
    <w:rsid w:val="00A36FBC"/>
    <w:rsid w:val="00A37F6D"/>
    <w:rsid w:val="00A414CE"/>
    <w:rsid w:val="00A41C88"/>
    <w:rsid w:val="00A41CBA"/>
    <w:rsid w:val="00A44490"/>
    <w:rsid w:val="00A446BC"/>
    <w:rsid w:val="00A4607F"/>
    <w:rsid w:val="00A46601"/>
    <w:rsid w:val="00A46D41"/>
    <w:rsid w:val="00A47A6D"/>
    <w:rsid w:val="00A53D8B"/>
    <w:rsid w:val="00A54C54"/>
    <w:rsid w:val="00A57491"/>
    <w:rsid w:val="00A57921"/>
    <w:rsid w:val="00A57C14"/>
    <w:rsid w:val="00A66E92"/>
    <w:rsid w:val="00A6774B"/>
    <w:rsid w:val="00A70337"/>
    <w:rsid w:val="00A716E5"/>
    <w:rsid w:val="00A733C4"/>
    <w:rsid w:val="00A75209"/>
    <w:rsid w:val="00A7580D"/>
    <w:rsid w:val="00A7653C"/>
    <w:rsid w:val="00A776B6"/>
    <w:rsid w:val="00A917EE"/>
    <w:rsid w:val="00A945C4"/>
    <w:rsid w:val="00A9498C"/>
    <w:rsid w:val="00A94A9D"/>
    <w:rsid w:val="00A96208"/>
    <w:rsid w:val="00A97266"/>
    <w:rsid w:val="00AA0EF6"/>
    <w:rsid w:val="00AA2EC0"/>
    <w:rsid w:val="00AA37A6"/>
    <w:rsid w:val="00AA538E"/>
    <w:rsid w:val="00AA74A3"/>
    <w:rsid w:val="00AA7E39"/>
    <w:rsid w:val="00AB0B68"/>
    <w:rsid w:val="00AB4DA1"/>
    <w:rsid w:val="00AB5AE4"/>
    <w:rsid w:val="00AB5E4F"/>
    <w:rsid w:val="00AC360D"/>
    <w:rsid w:val="00AD331B"/>
    <w:rsid w:val="00AE27F9"/>
    <w:rsid w:val="00AE52D9"/>
    <w:rsid w:val="00AE5842"/>
    <w:rsid w:val="00AE65A1"/>
    <w:rsid w:val="00AE770C"/>
    <w:rsid w:val="00AF4E2D"/>
    <w:rsid w:val="00AF6F05"/>
    <w:rsid w:val="00AF7203"/>
    <w:rsid w:val="00AF7650"/>
    <w:rsid w:val="00B0156D"/>
    <w:rsid w:val="00B02596"/>
    <w:rsid w:val="00B02EC9"/>
    <w:rsid w:val="00B0398B"/>
    <w:rsid w:val="00B03C15"/>
    <w:rsid w:val="00B04F93"/>
    <w:rsid w:val="00B06B5C"/>
    <w:rsid w:val="00B07332"/>
    <w:rsid w:val="00B07BC7"/>
    <w:rsid w:val="00B1232E"/>
    <w:rsid w:val="00B14CEF"/>
    <w:rsid w:val="00B15B3A"/>
    <w:rsid w:val="00B15C03"/>
    <w:rsid w:val="00B17118"/>
    <w:rsid w:val="00B20DAA"/>
    <w:rsid w:val="00B2245C"/>
    <w:rsid w:val="00B233DF"/>
    <w:rsid w:val="00B237D8"/>
    <w:rsid w:val="00B32380"/>
    <w:rsid w:val="00B340E1"/>
    <w:rsid w:val="00B37282"/>
    <w:rsid w:val="00B43BB7"/>
    <w:rsid w:val="00B43D0A"/>
    <w:rsid w:val="00B51DC0"/>
    <w:rsid w:val="00B530C8"/>
    <w:rsid w:val="00B54D33"/>
    <w:rsid w:val="00B55212"/>
    <w:rsid w:val="00B56A56"/>
    <w:rsid w:val="00B56C59"/>
    <w:rsid w:val="00B60E8C"/>
    <w:rsid w:val="00B61854"/>
    <w:rsid w:val="00B6370A"/>
    <w:rsid w:val="00B63B0B"/>
    <w:rsid w:val="00B64EE1"/>
    <w:rsid w:val="00B6647A"/>
    <w:rsid w:val="00B73B17"/>
    <w:rsid w:val="00B77930"/>
    <w:rsid w:val="00B845E6"/>
    <w:rsid w:val="00B84DB5"/>
    <w:rsid w:val="00B92188"/>
    <w:rsid w:val="00B95E25"/>
    <w:rsid w:val="00BA1C84"/>
    <w:rsid w:val="00BA61BD"/>
    <w:rsid w:val="00BB0819"/>
    <w:rsid w:val="00BB2A1F"/>
    <w:rsid w:val="00BB2D06"/>
    <w:rsid w:val="00BB433A"/>
    <w:rsid w:val="00BC0C0B"/>
    <w:rsid w:val="00BC1BC7"/>
    <w:rsid w:val="00BC5315"/>
    <w:rsid w:val="00BD02C3"/>
    <w:rsid w:val="00BD113E"/>
    <w:rsid w:val="00BD2D49"/>
    <w:rsid w:val="00BD4C3B"/>
    <w:rsid w:val="00BD4F6C"/>
    <w:rsid w:val="00BE0139"/>
    <w:rsid w:val="00BE6132"/>
    <w:rsid w:val="00BF3173"/>
    <w:rsid w:val="00BF34BD"/>
    <w:rsid w:val="00BF4261"/>
    <w:rsid w:val="00BF5634"/>
    <w:rsid w:val="00C02679"/>
    <w:rsid w:val="00C038BA"/>
    <w:rsid w:val="00C06A8B"/>
    <w:rsid w:val="00C10212"/>
    <w:rsid w:val="00C12A4E"/>
    <w:rsid w:val="00C218DD"/>
    <w:rsid w:val="00C23D46"/>
    <w:rsid w:val="00C331F2"/>
    <w:rsid w:val="00C339AC"/>
    <w:rsid w:val="00C348F6"/>
    <w:rsid w:val="00C36558"/>
    <w:rsid w:val="00C44983"/>
    <w:rsid w:val="00C47AF5"/>
    <w:rsid w:val="00C50784"/>
    <w:rsid w:val="00C57A6E"/>
    <w:rsid w:val="00C63A83"/>
    <w:rsid w:val="00C6555B"/>
    <w:rsid w:val="00C666D0"/>
    <w:rsid w:val="00C71619"/>
    <w:rsid w:val="00C738C6"/>
    <w:rsid w:val="00C749A8"/>
    <w:rsid w:val="00C74E25"/>
    <w:rsid w:val="00C8146B"/>
    <w:rsid w:val="00C8195A"/>
    <w:rsid w:val="00C82382"/>
    <w:rsid w:val="00C84022"/>
    <w:rsid w:val="00C84DD2"/>
    <w:rsid w:val="00C85F1D"/>
    <w:rsid w:val="00C86C56"/>
    <w:rsid w:val="00C911D9"/>
    <w:rsid w:val="00C923C8"/>
    <w:rsid w:val="00C94327"/>
    <w:rsid w:val="00C9555A"/>
    <w:rsid w:val="00C95912"/>
    <w:rsid w:val="00C97F1C"/>
    <w:rsid w:val="00CA48E3"/>
    <w:rsid w:val="00CA7918"/>
    <w:rsid w:val="00CB06B3"/>
    <w:rsid w:val="00CB1657"/>
    <w:rsid w:val="00CB2C55"/>
    <w:rsid w:val="00CB5AE2"/>
    <w:rsid w:val="00CB7ED4"/>
    <w:rsid w:val="00CC07C0"/>
    <w:rsid w:val="00CC11A1"/>
    <w:rsid w:val="00CC33C7"/>
    <w:rsid w:val="00CC6041"/>
    <w:rsid w:val="00CD2EAE"/>
    <w:rsid w:val="00CD564D"/>
    <w:rsid w:val="00CE0916"/>
    <w:rsid w:val="00CE593F"/>
    <w:rsid w:val="00CE5F90"/>
    <w:rsid w:val="00CF0D8F"/>
    <w:rsid w:val="00CF511C"/>
    <w:rsid w:val="00D00DF4"/>
    <w:rsid w:val="00D0183E"/>
    <w:rsid w:val="00D03A17"/>
    <w:rsid w:val="00D0425C"/>
    <w:rsid w:val="00D05410"/>
    <w:rsid w:val="00D063BF"/>
    <w:rsid w:val="00D107B4"/>
    <w:rsid w:val="00D108A8"/>
    <w:rsid w:val="00D109E3"/>
    <w:rsid w:val="00D121E3"/>
    <w:rsid w:val="00D12975"/>
    <w:rsid w:val="00D12A0E"/>
    <w:rsid w:val="00D257EA"/>
    <w:rsid w:val="00D27E58"/>
    <w:rsid w:val="00D3196E"/>
    <w:rsid w:val="00D33158"/>
    <w:rsid w:val="00D350A7"/>
    <w:rsid w:val="00D408C5"/>
    <w:rsid w:val="00D46DA5"/>
    <w:rsid w:val="00D54E4B"/>
    <w:rsid w:val="00D5577B"/>
    <w:rsid w:val="00D63160"/>
    <w:rsid w:val="00D634BD"/>
    <w:rsid w:val="00D63BFA"/>
    <w:rsid w:val="00D64CC1"/>
    <w:rsid w:val="00D64F21"/>
    <w:rsid w:val="00D657BB"/>
    <w:rsid w:val="00D71528"/>
    <w:rsid w:val="00D80628"/>
    <w:rsid w:val="00D8079B"/>
    <w:rsid w:val="00D82901"/>
    <w:rsid w:val="00D82AE3"/>
    <w:rsid w:val="00D904AB"/>
    <w:rsid w:val="00D94648"/>
    <w:rsid w:val="00D9558E"/>
    <w:rsid w:val="00DA346A"/>
    <w:rsid w:val="00DA353E"/>
    <w:rsid w:val="00DA641E"/>
    <w:rsid w:val="00DA789B"/>
    <w:rsid w:val="00DB0ED3"/>
    <w:rsid w:val="00DB3DFF"/>
    <w:rsid w:val="00DC077D"/>
    <w:rsid w:val="00DC519F"/>
    <w:rsid w:val="00DC5481"/>
    <w:rsid w:val="00DC5C0E"/>
    <w:rsid w:val="00DC751C"/>
    <w:rsid w:val="00DD117D"/>
    <w:rsid w:val="00DD1220"/>
    <w:rsid w:val="00DD122E"/>
    <w:rsid w:val="00DD29CF"/>
    <w:rsid w:val="00DD455E"/>
    <w:rsid w:val="00DD566B"/>
    <w:rsid w:val="00DD70AB"/>
    <w:rsid w:val="00DE079A"/>
    <w:rsid w:val="00DE0AA0"/>
    <w:rsid w:val="00DE4ECE"/>
    <w:rsid w:val="00DE73B6"/>
    <w:rsid w:val="00DF031B"/>
    <w:rsid w:val="00DF5B68"/>
    <w:rsid w:val="00DF7100"/>
    <w:rsid w:val="00DF7352"/>
    <w:rsid w:val="00DF74CB"/>
    <w:rsid w:val="00E03E74"/>
    <w:rsid w:val="00E0550D"/>
    <w:rsid w:val="00E070B0"/>
    <w:rsid w:val="00E070BB"/>
    <w:rsid w:val="00E11FB6"/>
    <w:rsid w:val="00E143D6"/>
    <w:rsid w:val="00E14E85"/>
    <w:rsid w:val="00E32559"/>
    <w:rsid w:val="00E33CF0"/>
    <w:rsid w:val="00E34EF2"/>
    <w:rsid w:val="00E412AF"/>
    <w:rsid w:val="00E458AA"/>
    <w:rsid w:val="00E46809"/>
    <w:rsid w:val="00E468AE"/>
    <w:rsid w:val="00E473EB"/>
    <w:rsid w:val="00E50264"/>
    <w:rsid w:val="00E54D95"/>
    <w:rsid w:val="00E56AF0"/>
    <w:rsid w:val="00E57752"/>
    <w:rsid w:val="00E636FF"/>
    <w:rsid w:val="00E66223"/>
    <w:rsid w:val="00E66863"/>
    <w:rsid w:val="00E712FF"/>
    <w:rsid w:val="00E71EC9"/>
    <w:rsid w:val="00E723DC"/>
    <w:rsid w:val="00E73219"/>
    <w:rsid w:val="00E73617"/>
    <w:rsid w:val="00E74999"/>
    <w:rsid w:val="00E75F00"/>
    <w:rsid w:val="00E76D7C"/>
    <w:rsid w:val="00E776DF"/>
    <w:rsid w:val="00E7782A"/>
    <w:rsid w:val="00E80818"/>
    <w:rsid w:val="00E81A3E"/>
    <w:rsid w:val="00E86446"/>
    <w:rsid w:val="00E95BB0"/>
    <w:rsid w:val="00E96560"/>
    <w:rsid w:val="00E96747"/>
    <w:rsid w:val="00EA0E2D"/>
    <w:rsid w:val="00EA4F56"/>
    <w:rsid w:val="00EA6FB9"/>
    <w:rsid w:val="00EB097C"/>
    <w:rsid w:val="00EB2511"/>
    <w:rsid w:val="00EC1170"/>
    <w:rsid w:val="00EC26FE"/>
    <w:rsid w:val="00EC2C0D"/>
    <w:rsid w:val="00ED3943"/>
    <w:rsid w:val="00ED3FB2"/>
    <w:rsid w:val="00EE034A"/>
    <w:rsid w:val="00EE0E47"/>
    <w:rsid w:val="00EE1C88"/>
    <w:rsid w:val="00EE3E32"/>
    <w:rsid w:val="00EE6D9E"/>
    <w:rsid w:val="00EE7016"/>
    <w:rsid w:val="00EF1A0D"/>
    <w:rsid w:val="00EF254D"/>
    <w:rsid w:val="00EF30CE"/>
    <w:rsid w:val="00EF4354"/>
    <w:rsid w:val="00EF61C6"/>
    <w:rsid w:val="00EF629B"/>
    <w:rsid w:val="00F058CB"/>
    <w:rsid w:val="00F05BF4"/>
    <w:rsid w:val="00F10118"/>
    <w:rsid w:val="00F1045F"/>
    <w:rsid w:val="00F10CB2"/>
    <w:rsid w:val="00F11358"/>
    <w:rsid w:val="00F117E4"/>
    <w:rsid w:val="00F122E3"/>
    <w:rsid w:val="00F14DDC"/>
    <w:rsid w:val="00F15DEC"/>
    <w:rsid w:val="00F17D7A"/>
    <w:rsid w:val="00F27B5C"/>
    <w:rsid w:val="00F27DBA"/>
    <w:rsid w:val="00F33AC3"/>
    <w:rsid w:val="00F40DDB"/>
    <w:rsid w:val="00F41B4A"/>
    <w:rsid w:val="00F41EBC"/>
    <w:rsid w:val="00F43842"/>
    <w:rsid w:val="00F45FFD"/>
    <w:rsid w:val="00F47E9C"/>
    <w:rsid w:val="00F52196"/>
    <w:rsid w:val="00F5796F"/>
    <w:rsid w:val="00F63D41"/>
    <w:rsid w:val="00F665CF"/>
    <w:rsid w:val="00F675E9"/>
    <w:rsid w:val="00F72CEA"/>
    <w:rsid w:val="00F75358"/>
    <w:rsid w:val="00F75D6D"/>
    <w:rsid w:val="00F7769D"/>
    <w:rsid w:val="00F8031B"/>
    <w:rsid w:val="00F803A5"/>
    <w:rsid w:val="00F82BCF"/>
    <w:rsid w:val="00F830E3"/>
    <w:rsid w:val="00F859AA"/>
    <w:rsid w:val="00F90D41"/>
    <w:rsid w:val="00F911B3"/>
    <w:rsid w:val="00F913E4"/>
    <w:rsid w:val="00F9265D"/>
    <w:rsid w:val="00FA07A1"/>
    <w:rsid w:val="00FA08D6"/>
    <w:rsid w:val="00FA227C"/>
    <w:rsid w:val="00FA238E"/>
    <w:rsid w:val="00FA3C14"/>
    <w:rsid w:val="00FA62AC"/>
    <w:rsid w:val="00FB3407"/>
    <w:rsid w:val="00FC04D4"/>
    <w:rsid w:val="00FC1EE3"/>
    <w:rsid w:val="00FC1F60"/>
    <w:rsid w:val="00FC2EEB"/>
    <w:rsid w:val="00FC4FBA"/>
    <w:rsid w:val="00FD3832"/>
    <w:rsid w:val="00FE0B67"/>
    <w:rsid w:val="00FE3F3D"/>
    <w:rsid w:val="00FE45A6"/>
    <w:rsid w:val="00FE67D8"/>
    <w:rsid w:val="00FF0C57"/>
    <w:rsid w:val="00FF1AA1"/>
    <w:rsid w:val="00FF39B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A13"/>
  </w:style>
  <w:style w:type="paragraph" w:styleId="Heading1">
    <w:name w:val="heading 1"/>
    <w:basedOn w:val="Normal"/>
    <w:next w:val="Normal"/>
    <w:link w:val="Heading1Char"/>
    <w:uiPriority w:val="9"/>
    <w:qFormat/>
    <w:rsid w:val="00301A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190"/>
    <w:pPr>
      <w:ind w:left="720"/>
      <w:contextualSpacing/>
    </w:pPr>
  </w:style>
  <w:style w:type="paragraph" w:styleId="Header">
    <w:name w:val="header"/>
    <w:basedOn w:val="Normal"/>
    <w:link w:val="HeaderChar"/>
    <w:uiPriority w:val="99"/>
    <w:unhideWhenUsed/>
    <w:rsid w:val="00333B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B24"/>
  </w:style>
  <w:style w:type="paragraph" w:styleId="Footer">
    <w:name w:val="footer"/>
    <w:basedOn w:val="Normal"/>
    <w:link w:val="FooterChar"/>
    <w:uiPriority w:val="99"/>
    <w:unhideWhenUsed/>
    <w:rsid w:val="00333B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B24"/>
  </w:style>
  <w:style w:type="table" w:styleId="TableGrid">
    <w:name w:val="Table Grid"/>
    <w:basedOn w:val="TableNormal"/>
    <w:uiPriority w:val="59"/>
    <w:rsid w:val="00333B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453C0"/>
    <w:rPr>
      <w:color w:val="0000FF" w:themeColor="hyperlink"/>
      <w:u w:val="single"/>
    </w:rPr>
  </w:style>
  <w:style w:type="character" w:styleId="FollowedHyperlink">
    <w:name w:val="FollowedHyperlink"/>
    <w:basedOn w:val="DefaultParagraphFont"/>
    <w:uiPriority w:val="99"/>
    <w:semiHidden/>
    <w:unhideWhenUsed/>
    <w:rsid w:val="003453C0"/>
    <w:rPr>
      <w:color w:val="800080" w:themeColor="followedHyperlink"/>
      <w:u w:val="single"/>
    </w:rPr>
  </w:style>
  <w:style w:type="paragraph" w:styleId="BalloonText">
    <w:name w:val="Balloon Text"/>
    <w:basedOn w:val="Normal"/>
    <w:link w:val="BalloonTextChar"/>
    <w:uiPriority w:val="99"/>
    <w:semiHidden/>
    <w:unhideWhenUsed/>
    <w:rsid w:val="008A2B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B50"/>
    <w:rPr>
      <w:rFonts w:ascii="Tahoma" w:hAnsi="Tahoma" w:cs="Tahoma"/>
      <w:sz w:val="16"/>
      <w:szCs w:val="16"/>
    </w:rPr>
  </w:style>
  <w:style w:type="paragraph" w:styleId="FootnoteText">
    <w:name w:val="footnote text"/>
    <w:basedOn w:val="Normal"/>
    <w:link w:val="FootnoteTextChar"/>
    <w:uiPriority w:val="99"/>
    <w:unhideWhenUsed/>
    <w:rsid w:val="00206C78"/>
    <w:pPr>
      <w:spacing w:after="0" w:line="240" w:lineRule="auto"/>
    </w:pPr>
    <w:rPr>
      <w:sz w:val="20"/>
      <w:szCs w:val="20"/>
    </w:rPr>
  </w:style>
  <w:style w:type="character" w:customStyle="1" w:styleId="FootnoteTextChar">
    <w:name w:val="Footnote Text Char"/>
    <w:basedOn w:val="DefaultParagraphFont"/>
    <w:link w:val="FootnoteText"/>
    <w:uiPriority w:val="99"/>
    <w:rsid w:val="00206C78"/>
    <w:rPr>
      <w:sz w:val="20"/>
      <w:szCs w:val="20"/>
    </w:rPr>
  </w:style>
  <w:style w:type="character" w:styleId="FootnoteReference">
    <w:name w:val="footnote reference"/>
    <w:basedOn w:val="DefaultParagraphFont"/>
    <w:uiPriority w:val="99"/>
    <w:semiHidden/>
    <w:unhideWhenUsed/>
    <w:rsid w:val="00206C78"/>
    <w:rPr>
      <w:vertAlign w:val="superscript"/>
    </w:rPr>
  </w:style>
  <w:style w:type="paragraph" w:styleId="DocumentMap">
    <w:name w:val="Document Map"/>
    <w:basedOn w:val="Normal"/>
    <w:link w:val="DocumentMapChar"/>
    <w:uiPriority w:val="99"/>
    <w:semiHidden/>
    <w:unhideWhenUsed/>
    <w:rsid w:val="006B532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B5325"/>
    <w:rPr>
      <w:rFonts w:ascii="Tahoma" w:hAnsi="Tahoma" w:cs="Tahoma"/>
      <w:sz w:val="16"/>
      <w:szCs w:val="16"/>
    </w:rPr>
  </w:style>
  <w:style w:type="character" w:styleId="CommentReference">
    <w:name w:val="annotation reference"/>
    <w:basedOn w:val="DefaultParagraphFont"/>
    <w:uiPriority w:val="99"/>
    <w:semiHidden/>
    <w:unhideWhenUsed/>
    <w:rsid w:val="00415B04"/>
    <w:rPr>
      <w:sz w:val="16"/>
      <w:szCs w:val="16"/>
    </w:rPr>
  </w:style>
  <w:style w:type="paragraph" w:styleId="CommentText">
    <w:name w:val="annotation text"/>
    <w:basedOn w:val="Normal"/>
    <w:link w:val="CommentTextChar"/>
    <w:uiPriority w:val="99"/>
    <w:unhideWhenUsed/>
    <w:rsid w:val="00415B04"/>
    <w:pPr>
      <w:spacing w:line="240" w:lineRule="auto"/>
    </w:pPr>
    <w:rPr>
      <w:sz w:val="20"/>
      <w:szCs w:val="20"/>
    </w:rPr>
  </w:style>
  <w:style w:type="character" w:customStyle="1" w:styleId="CommentTextChar">
    <w:name w:val="Comment Text Char"/>
    <w:basedOn w:val="DefaultParagraphFont"/>
    <w:link w:val="CommentText"/>
    <w:uiPriority w:val="99"/>
    <w:rsid w:val="00415B04"/>
    <w:rPr>
      <w:sz w:val="20"/>
      <w:szCs w:val="20"/>
    </w:rPr>
  </w:style>
  <w:style w:type="paragraph" w:styleId="CommentSubject">
    <w:name w:val="annotation subject"/>
    <w:basedOn w:val="CommentText"/>
    <w:next w:val="CommentText"/>
    <w:link w:val="CommentSubjectChar"/>
    <w:uiPriority w:val="99"/>
    <w:semiHidden/>
    <w:unhideWhenUsed/>
    <w:rsid w:val="00415B04"/>
    <w:rPr>
      <w:b/>
      <w:bCs/>
    </w:rPr>
  </w:style>
  <w:style w:type="character" w:customStyle="1" w:styleId="CommentSubjectChar">
    <w:name w:val="Comment Subject Char"/>
    <w:basedOn w:val="CommentTextChar"/>
    <w:link w:val="CommentSubject"/>
    <w:uiPriority w:val="99"/>
    <w:semiHidden/>
    <w:rsid w:val="00415B04"/>
    <w:rPr>
      <w:b/>
      <w:bCs/>
      <w:sz w:val="20"/>
      <w:szCs w:val="20"/>
    </w:rPr>
  </w:style>
  <w:style w:type="character" w:customStyle="1" w:styleId="Heading1Char">
    <w:name w:val="Heading 1 Char"/>
    <w:basedOn w:val="DefaultParagraphFont"/>
    <w:link w:val="Heading1"/>
    <w:uiPriority w:val="9"/>
    <w:rsid w:val="00301A2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058482415">
      <w:bodyDiv w:val="1"/>
      <w:marLeft w:val="0"/>
      <w:marRight w:val="0"/>
      <w:marTop w:val="0"/>
      <w:marBottom w:val="0"/>
      <w:divBdr>
        <w:top w:val="none" w:sz="0" w:space="0" w:color="auto"/>
        <w:left w:val="none" w:sz="0" w:space="0" w:color="auto"/>
        <w:bottom w:val="none" w:sz="0" w:space="0" w:color="auto"/>
        <w:right w:val="none" w:sz="0" w:space="0" w:color="auto"/>
      </w:divBdr>
    </w:div>
    <w:div w:id="160834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nsafely.org/"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www.england.nhs.uk/contact-us/privacy-notice/how-we-use-your-information/covid-19-response/nhs-covid-19-data-stor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gital.nhs.uk/services/summary-care-records-scr/additional-information-in-scr" TargetMode="External"/><Relationship Id="rId5" Type="http://schemas.openxmlformats.org/officeDocument/2006/relationships/numbering" Target="numbering.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commentsExtended" Target="commentsExtended.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news/polling-indicates-growing-public-understanding-about-importance-of-using-health-and-care-data" TargetMode="External"/><Relationship Id="rId1" Type="http://schemas.openxmlformats.org/officeDocument/2006/relationships/hyperlink" Target="https://www.ons.gov.uk/employmentandlabourmarket/peopleinwork/employmentandemployeetyp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61B4DAC3643B46862B421F9FA41DD8" ma:contentTypeVersion="0" ma:contentTypeDescription="Create a new document." ma:contentTypeScope="" ma:versionID="b5e923e3676aca516c500e7e5fa2d98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15243-9DBB-4002-9415-E4BE36801E8A}">
  <ds:schemaRefs>
    <ds:schemaRef ds:uri="http://schemas.microsoft.com/sharepoint/v3/contenttype/forms"/>
  </ds:schemaRefs>
</ds:datastoreItem>
</file>

<file path=customXml/itemProps2.xml><?xml version="1.0" encoding="utf-8"?>
<ds:datastoreItem xmlns:ds="http://schemas.openxmlformats.org/officeDocument/2006/customXml" ds:itemID="{A6E57AF9-5091-41B7-A508-C28409F3CC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F2904E-F287-4DA1-BD98-C0F75A879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55DCA81-E6D0-471C-8234-346DA6817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Malcolm Oswald</cp:lastModifiedBy>
  <cp:revision>2</cp:revision>
  <cp:lastPrinted>2018-11-24T07:02:00Z</cp:lastPrinted>
  <dcterms:created xsi:type="dcterms:W3CDTF">2021-06-18T11:38:00Z</dcterms:created>
  <dcterms:modified xsi:type="dcterms:W3CDTF">2021-06-18T11:38:00Z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0x010100E761B4DAC3643B46862B421F9FA41DD8</vt:lpwstr>
  </property>
</Properties>
</file>